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方正超大字符集" w:eastAsia="方正小标宋简体" w:cs="宋体-方正超大字符集"/>
          <w:sz w:val="44"/>
          <w:szCs w:val="44"/>
        </w:rPr>
      </w:pPr>
      <w:r>
        <w:rPr>
          <w:rFonts w:hint="eastAsia" w:ascii="方正小标宋简体" w:hAnsi="宋体-方正超大字符集" w:eastAsia="方正小标宋简体" w:cs="宋体-方正超大字符集"/>
          <w:sz w:val="44"/>
          <w:szCs w:val="44"/>
        </w:rPr>
        <w:t>大厂回族自治县夏垫污水处理厂</w:t>
      </w:r>
    </w:p>
    <w:p>
      <w:pPr>
        <w:jc w:val="center"/>
        <w:rPr>
          <w:rFonts w:ascii="方正小标宋简体" w:hAnsi="宋体-方正超大字符集" w:eastAsia="方正小标宋简体" w:cs="宋体-方正超大字符集"/>
          <w:sz w:val="44"/>
          <w:szCs w:val="44"/>
        </w:rPr>
      </w:pPr>
      <w:r>
        <w:rPr>
          <w:rFonts w:hint="eastAsia" w:ascii="方正小标宋简体" w:hAnsi="宋体-方正超大字符集" w:eastAsia="方正小标宋简体" w:cs="宋体-方正超大字符集"/>
          <w:sz w:val="44"/>
          <w:szCs w:val="44"/>
          <w:lang w:val="en-US" w:eastAsia="zh-CN"/>
        </w:rPr>
        <w:t>2020</w:t>
      </w:r>
      <w:r>
        <w:rPr>
          <w:rFonts w:hint="eastAsia" w:ascii="方正小标宋简体" w:hAnsi="宋体-方正超大字符集" w:eastAsia="方正小标宋简体" w:cs="宋体-方正超大字符集"/>
          <w:sz w:val="44"/>
          <w:szCs w:val="44"/>
        </w:rPr>
        <w:t>年部门预算信息公开情况说明</w:t>
      </w:r>
    </w:p>
    <w:p>
      <w:pPr>
        <w:spacing w:line="584" w:lineRule="exact"/>
        <w:ind w:firstLine="640" w:firstLineChars="200"/>
        <w:rPr>
          <w:rFonts w:ascii="仿宋" w:hAnsi="仿宋" w:eastAsia="仿宋" w:cs="宋体"/>
          <w:kern w:val="0"/>
          <w:position w:val="-2"/>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大厂回族自治县夏垫污水处理厂</w:t>
      </w:r>
      <w:r>
        <w:rPr>
          <w:rFonts w:hint="eastAsia" w:ascii="Times New Roman" w:hAnsi="Times New Roman" w:eastAsia="仿宋_GB2312" w:cs="Times New Roman"/>
          <w:sz w:val="32"/>
          <w:szCs w:val="32"/>
          <w:lang w:val="en-US" w:eastAsia="zh-CN"/>
        </w:rPr>
        <w:t>2020</w:t>
      </w:r>
      <w:r>
        <w:rPr>
          <w:rFonts w:ascii="Times New Roman" w:hAnsi="Times New Roman" w:eastAsia="仿宋_GB2312" w:cs="Times New Roman"/>
          <w:sz w:val="32"/>
          <w:szCs w:val="32"/>
        </w:rPr>
        <w:t>年部门预算公开如下：</w:t>
      </w:r>
    </w:p>
    <w:p>
      <w:pPr>
        <w:spacing w:line="580" w:lineRule="exact"/>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rPr>
          <w:rFonts w:ascii="楷体" w:hAnsi="楷体" w:eastAsia="楷体"/>
          <w:b/>
          <w:sz w:val="32"/>
          <w:szCs w:val="32"/>
        </w:rPr>
      </w:pPr>
      <w:r>
        <w:rPr>
          <w:rFonts w:hint="eastAsia" w:ascii="楷体" w:hAnsi="楷体" w:eastAsia="楷体"/>
          <w:b/>
          <w:sz w:val="32"/>
          <w:szCs w:val="32"/>
        </w:rPr>
        <w:t>部门职责：</w:t>
      </w:r>
    </w:p>
    <w:p>
      <w:pPr>
        <w:widowControl/>
        <w:spacing w:line="580" w:lineRule="exact"/>
        <w:ind w:firstLine="640" w:firstLineChars="200"/>
        <w:rPr>
          <w:rFonts w:hint="eastAsia" w:ascii="仿宋_GB2312" w:hAnsi="仿宋_GB2312" w:eastAsia="仿宋_GB2312" w:cs="仿宋_GB2312"/>
          <w:kern w:val="0"/>
          <w:position w:val="-2"/>
          <w:sz w:val="32"/>
          <w:szCs w:val="32"/>
        </w:rPr>
      </w:pPr>
      <w:r>
        <w:rPr>
          <w:rFonts w:hint="eastAsia" w:ascii="仿宋_GB2312" w:hAnsi="仿宋_GB2312" w:eastAsia="仿宋_GB2312" w:cs="仿宋_GB2312"/>
          <w:kern w:val="0"/>
          <w:position w:val="-2"/>
          <w:sz w:val="32"/>
          <w:szCs w:val="32"/>
        </w:rPr>
        <w:t>1.贯彻执行国家、省、市、县环保工作方针政策和法律、法规；保障夏垫镇区污水综合治理。</w:t>
      </w:r>
    </w:p>
    <w:p>
      <w:pPr>
        <w:widowControl/>
        <w:spacing w:line="580" w:lineRule="exact"/>
        <w:ind w:firstLine="640" w:firstLineChars="200"/>
        <w:rPr>
          <w:rFonts w:hint="eastAsia" w:ascii="仿宋_GB2312" w:hAnsi="仿宋_GB2312" w:eastAsia="仿宋_GB2312" w:cs="仿宋_GB2312"/>
          <w:kern w:val="0"/>
          <w:position w:val="-2"/>
          <w:sz w:val="32"/>
          <w:szCs w:val="32"/>
        </w:rPr>
      </w:pPr>
      <w:r>
        <w:rPr>
          <w:rFonts w:hint="eastAsia" w:ascii="仿宋_GB2312" w:hAnsi="仿宋_GB2312" w:eastAsia="仿宋_GB2312" w:cs="仿宋_GB2312"/>
          <w:kern w:val="0"/>
          <w:position w:val="-2"/>
          <w:sz w:val="32"/>
          <w:szCs w:val="32"/>
        </w:rPr>
        <w:t>2.确保达标排放，为夏垫环境治理工作创造条件。</w:t>
      </w:r>
    </w:p>
    <w:p>
      <w:pPr>
        <w:autoSpaceDE w:val="0"/>
        <w:autoSpaceDN w:val="0"/>
        <w:adjustRightInd w:val="0"/>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116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6"/>
        <w:gridCol w:w="1496"/>
        <w:gridCol w:w="1060"/>
        <w:gridCol w:w="43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69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49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060"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43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69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49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06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3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469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仿宋" w:hAnsi="仿宋" w:eastAsia="仿宋" w:cs="Times New Roman"/>
                <w:sz w:val="32"/>
                <w:szCs w:val="32"/>
              </w:rPr>
              <w:t>大厂回族自治县夏垫污水处理厂</w:t>
            </w:r>
          </w:p>
        </w:tc>
        <w:tc>
          <w:tcPr>
            <w:tcW w:w="1496" w:type="dxa"/>
            <w:shd w:val="clear" w:color="auto" w:fill="auto"/>
            <w:vAlign w:val="center"/>
          </w:tcPr>
          <w:p>
            <w:pPr>
              <w:spacing w:line="300" w:lineRule="exact"/>
              <w:jc w:val="center"/>
              <w:rPr>
                <w:rFonts w:ascii="仿宋" w:hAnsi="仿宋" w:eastAsia="仿宋" w:cs="Times New Roman"/>
                <w:sz w:val="32"/>
                <w:szCs w:val="32"/>
              </w:rPr>
            </w:pPr>
            <w:r>
              <w:rPr>
                <w:rFonts w:hint="eastAsia" w:ascii="仿宋" w:hAnsi="仿宋" w:eastAsia="仿宋" w:cs="Times New Roman"/>
                <w:sz w:val="32"/>
                <w:szCs w:val="32"/>
              </w:rPr>
              <w:t>差额事业</w:t>
            </w:r>
          </w:p>
        </w:tc>
        <w:tc>
          <w:tcPr>
            <w:tcW w:w="1060" w:type="dxa"/>
            <w:shd w:val="clear" w:color="auto" w:fill="auto"/>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正股</w:t>
            </w:r>
          </w:p>
        </w:tc>
        <w:tc>
          <w:tcPr>
            <w:tcW w:w="4376" w:type="dxa"/>
            <w:shd w:val="clear" w:color="auto" w:fill="auto"/>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财政性资金定额（差额事业）</w:t>
            </w:r>
          </w:p>
        </w:tc>
      </w:tr>
    </w:tbl>
    <w:p>
      <w:pPr>
        <w:spacing w:line="580" w:lineRule="exact"/>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按照预算管理有关规定，目前我部门预算的编制实行综合预算制度，即全部收入和支出都反映在预算中。我部门及所属事业单位的收支包含在部门预算中。</w:t>
      </w:r>
    </w:p>
    <w:p>
      <w:pPr>
        <w:pStyle w:val="13"/>
        <w:numPr>
          <w:ilvl w:val="0"/>
          <w:numId w:val="1"/>
        </w:numPr>
        <w:spacing w:line="580" w:lineRule="exact"/>
        <w:ind w:firstLineChars="0"/>
        <w:rPr>
          <w:rFonts w:ascii="楷体" w:hAnsi="楷体" w:eastAsia="楷体" w:cs="楷体"/>
          <w:b/>
          <w:bCs/>
          <w:sz w:val="32"/>
          <w:szCs w:val="32"/>
        </w:rPr>
      </w:pPr>
      <w:r>
        <w:rPr>
          <w:rFonts w:hint="eastAsia" w:ascii="楷体" w:hAnsi="楷体" w:eastAsia="楷体" w:cs="楷体"/>
          <w:b/>
          <w:bCs/>
          <w:sz w:val="32"/>
          <w:szCs w:val="32"/>
        </w:rPr>
        <w:t>收入说明</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482.58</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242.58</w:t>
      </w:r>
      <w:r>
        <w:rPr>
          <w:rFonts w:hint="eastAsia" w:ascii="仿宋_GB2312" w:hAnsi="仿宋_GB2312" w:eastAsia="仿宋_GB2312" w:cs="仿宋_GB2312"/>
          <w:sz w:val="32"/>
          <w:szCs w:val="32"/>
        </w:rPr>
        <w:t>万元，政府性基金收入</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万元，国有资本经营收入0万元，事业收入0万元，其他收入0万元。</w:t>
      </w:r>
    </w:p>
    <w:p>
      <w:pPr>
        <w:spacing w:line="580" w:lineRule="exact"/>
        <w:ind w:firstLine="640"/>
        <w:rPr>
          <w:rFonts w:ascii="楷体" w:hAnsi="楷体" w:eastAsia="楷体" w:cs="楷体"/>
          <w:b/>
          <w:bCs/>
          <w:sz w:val="32"/>
          <w:szCs w:val="32"/>
        </w:rPr>
      </w:pPr>
      <w:r>
        <w:rPr>
          <w:rFonts w:hint="eastAsia" w:ascii="楷体" w:hAnsi="楷体" w:eastAsia="楷体" w:cs="楷体"/>
          <w:b/>
          <w:bCs/>
          <w:sz w:val="32"/>
          <w:szCs w:val="32"/>
        </w:rPr>
        <w:t>2、支出说明</w:t>
      </w:r>
    </w:p>
    <w:p>
      <w:pPr>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收支预算总表支出栏、基本支出表、项目支出表按经济分类和支出功能分类科目编制，反映廊坊市大厂回族自治县夏垫污水处理厂</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年度部门预算中支出预算的总体情况。</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482.58</w:t>
      </w:r>
      <w:r>
        <w:rPr>
          <w:rFonts w:hint="eastAsia" w:ascii="仿宋_GB2312" w:hAnsi="仿宋_GB2312" w:eastAsia="仿宋_GB2312" w:cs="仿宋_GB2312"/>
          <w:sz w:val="32"/>
          <w:szCs w:val="32"/>
        </w:rPr>
        <w:t>万元，全部为项目支出，主要用于运行经费（财补）</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电</w:t>
      </w:r>
      <w:r>
        <w:rPr>
          <w:rFonts w:hint="eastAsia" w:ascii="仿宋_GB2312" w:hAnsi="仿宋_GB2312" w:eastAsia="仿宋_GB2312" w:cs="仿宋_GB2312"/>
          <w:sz w:val="32"/>
          <w:szCs w:val="32"/>
          <w:lang w:eastAsia="zh-CN"/>
        </w:rPr>
        <w:t>费</w:t>
      </w:r>
      <w:r>
        <w:rPr>
          <w:rFonts w:hint="eastAsia" w:ascii="仿宋_GB2312" w:hAnsi="仿宋_GB2312" w:eastAsia="仿宋_GB2312" w:cs="仿宋_GB2312"/>
          <w:sz w:val="32"/>
          <w:szCs w:val="32"/>
        </w:rPr>
        <w:t>（财补）</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万元，运行经费</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事务管理经费</w:t>
      </w:r>
      <w:r>
        <w:rPr>
          <w:rFonts w:hint="eastAsia" w:ascii="仿宋_GB2312" w:hAnsi="仿宋_GB2312" w:eastAsia="仿宋_GB2312" w:cs="仿宋_GB2312"/>
          <w:sz w:val="32"/>
          <w:szCs w:val="32"/>
          <w:lang w:val="en-US" w:eastAsia="zh-CN"/>
        </w:rPr>
        <w:t>162.58</w:t>
      </w:r>
      <w:r>
        <w:rPr>
          <w:rFonts w:hint="eastAsia" w:ascii="仿宋_GB2312" w:hAnsi="仿宋_GB2312" w:eastAsia="仿宋_GB2312" w:cs="仿宋_GB2312"/>
          <w:sz w:val="32"/>
          <w:szCs w:val="32"/>
        </w:rPr>
        <w:t>万元（含药剂费、维修费、设备采购费、绿化费、劳保费、办公费、通讯费、燃料费等），代征手续（税）费</w:t>
      </w:r>
      <w:r>
        <w:rPr>
          <w:rFonts w:hint="eastAsia" w:ascii="仿宋_GB2312" w:hAnsi="仿宋_GB2312" w:eastAsia="仿宋_GB2312" w:cs="仿宋_GB2312"/>
          <w:sz w:val="32"/>
          <w:szCs w:val="32"/>
          <w:lang w:val="en-US" w:eastAsia="zh-CN"/>
        </w:rPr>
        <w:t>35万元，</w:t>
      </w:r>
      <w:r>
        <w:rPr>
          <w:rFonts w:hint="eastAsia" w:ascii="仿宋_GB2312" w:hAnsi="仿宋_GB2312" w:eastAsia="仿宋_GB2312" w:cs="仿宋_GB2312"/>
          <w:sz w:val="32"/>
          <w:szCs w:val="32"/>
        </w:rPr>
        <w:t>委托第三方监测费</w:t>
      </w:r>
      <w:r>
        <w:rPr>
          <w:rFonts w:hint="eastAsia" w:ascii="仿宋_GB2312" w:hAnsi="仿宋_GB2312" w:eastAsia="仿宋_GB2312" w:cs="仿宋_GB2312"/>
          <w:sz w:val="32"/>
          <w:szCs w:val="32"/>
          <w:lang w:val="en-US" w:eastAsia="zh-CN"/>
        </w:rPr>
        <w:t>45万元</w:t>
      </w:r>
    </w:p>
    <w:p>
      <w:pPr>
        <w:spacing w:line="580" w:lineRule="exact"/>
        <w:ind w:firstLine="640"/>
        <w:rPr>
          <w:rFonts w:ascii="楷体" w:hAnsi="楷体" w:eastAsia="楷体" w:cs="楷体"/>
          <w:b/>
          <w:bCs/>
          <w:sz w:val="32"/>
          <w:szCs w:val="32"/>
        </w:rPr>
      </w:pPr>
      <w:r>
        <w:rPr>
          <w:rFonts w:hint="eastAsia" w:ascii="楷体" w:hAnsi="楷体" w:eastAsia="楷体" w:cs="楷体"/>
          <w:b/>
          <w:bCs/>
          <w:sz w:val="32"/>
          <w:szCs w:val="32"/>
        </w:rPr>
        <w:t xml:space="preserve"> 3、比上年增减变化情况</w:t>
      </w:r>
    </w:p>
    <w:p>
      <w:pPr>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482.58</w:t>
      </w:r>
      <w:r>
        <w:rPr>
          <w:rFonts w:hint="eastAsia" w:ascii="仿宋_GB2312" w:hAnsi="仿宋_GB2312" w:eastAsia="仿宋_GB2312" w:cs="仿宋_GB2312"/>
          <w:sz w:val="32"/>
          <w:szCs w:val="32"/>
        </w:rPr>
        <w:t>万元，其中项目减少</w:t>
      </w:r>
      <w:r>
        <w:rPr>
          <w:rFonts w:hint="eastAsia" w:ascii="仿宋_GB2312" w:hAnsi="仿宋_GB2312" w:eastAsia="仿宋_GB2312" w:cs="仿宋_GB2312"/>
          <w:sz w:val="32"/>
          <w:szCs w:val="32"/>
          <w:lang w:val="en-US" w:eastAsia="zh-CN"/>
        </w:rPr>
        <w:t>232.67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p>
    <w:p>
      <w:pPr>
        <w:numPr>
          <w:ilvl w:val="0"/>
          <w:numId w:val="2"/>
        </w:numPr>
        <w:autoSpaceDE w:val="0"/>
        <w:autoSpaceDN w:val="0"/>
        <w:adjustRightInd w:val="0"/>
        <w:spacing w:line="580" w:lineRule="exact"/>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机关运行经费安排情况 </w:t>
      </w:r>
    </w:p>
    <w:p>
      <w:pPr>
        <w:pStyle w:val="13"/>
        <w:autoSpaceDE w:val="0"/>
        <w:autoSpaceDN w:val="0"/>
        <w:adjustRightInd w:val="0"/>
        <w:ind w:firstLine="960" w:firstLineChars="3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2020年本部门</w:t>
      </w:r>
      <w:r>
        <w:rPr>
          <w:rFonts w:hint="eastAsia" w:ascii="仿宋_GB2312" w:hAnsi="仿宋_GB2312" w:eastAsia="仿宋_GB2312" w:cs="仿宋_GB2312"/>
          <w:sz w:val="32"/>
          <w:szCs w:val="32"/>
        </w:rPr>
        <w:t>机关运行经费共计安排0万元，主要全部支出为项目支出，所以没有三公经费预算</w:t>
      </w:r>
      <w:r>
        <w:rPr>
          <w:rFonts w:hint="eastAsia" w:ascii="仿宋_GB2312" w:hAnsi="仿宋_GB2312" w:eastAsia="仿宋_GB2312" w:cs="仿宋_GB2312"/>
          <w:sz w:val="32"/>
          <w:szCs w:val="32"/>
          <w:lang w:eastAsia="zh-CN"/>
        </w:rPr>
        <w:t>。</w:t>
      </w:r>
    </w:p>
    <w:p>
      <w:pPr>
        <w:autoSpaceDE w:val="0"/>
        <w:autoSpaceDN w:val="0"/>
        <w:adjustRightInd w:val="0"/>
        <w:spacing w:line="580" w:lineRule="exact"/>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8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年，我单位“三公”经费预算安排0万元，其中因公出国（境）费0万元；公务用车购置及运维费0万元（其中：公务用车购置费为0万元，公务用车运行费0万元)；公务接待费0万元。我单位无三公经费支出。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年，大厂回族自治县夏垫污水处理厂“三公”经费预算为零，主要是20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年因我单位经营性质为企业化运营，全部支出为项目支出，所以没有三公经费预算。</w:t>
      </w:r>
    </w:p>
    <w:p>
      <w:pPr>
        <w:widowControl/>
        <w:spacing w:line="560" w:lineRule="exact"/>
        <w:ind w:firstLine="800" w:firstLineChars="250"/>
        <w:jc w:val="left"/>
        <w:rPr>
          <w:rFonts w:hint="eastAsia" w:ascii="黑体" w:hAnsi="黑体" w:eastAsia="黑体" w:cs="Times New Roman"/>
          <w:sz w:val="32"/>
          <w:szCs w:val="32"/>
        </w:rPr>
      </w:pPr>
      <w:r>
        <w:rPr>
          <w:rFonts w:hint="eastAsia" w:ascii="黑体" w:hAnsi="黑体" w:eastAsia="黑体" w:cs="Times New Roman"/>
          <w:sz w:val="32"/>
          <w:szCs w:val="32"/>
        </w:rPr>
        <w:t>五、绩效预算信息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autoSpaceDE w:val="0"/>
        <w:autoSpaceDN w:val="0"/>
        <w:adjustRightInd w:val="0"/>
        <w:spacing w:line="580" w:lineRule="exact"/>
        <w:ind w:firstLine="800" w:firstLineChars="250"/>
        <w:rPr>
          <w:rFonts w:hint="eastAsia" w:ascii="仿宋_GB2312" w:hAnsi="仿宋_GB2312" w:eastAsia="仿宋_GB2312" w:cs="仿宋_GB2312"/>
          <w:sz w:val="32"/>
          <w:szCs w:val="32"/>
        </w:rPr>
      </w:pPr>
      <w:bookmarkStart w:id="0" w:name="_Toc471398463"/>
      <w:r>
        <w:rPr>
          <w:rFonts w:hint="eastAsia" w:ascii="仿宋_GB2312" w:hAnsi="仿宋_GB2312" w:eastAsia="仿宋_GB2312" w:cs="仿宋_GB2312"/>
          <w:sz w:val="32"/>
          <w:szCs w:val="32"/>
        </w:rPr>
        <w:t>绩效预算信息：</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大厂回族自治县夏垫污水处理厂，自开展部门预算绩效管理工作以来，认真落实预算执行主体责任，不断加强预算绩效管理，并当作一项系统工过程去做，有效落实“预算编制有绩效目标、预算执行有绩效监控、预算完成有绩效评价、绩效评价结果有反馈、反馈结果有应用”的预算绩效管理要求。在具体评价操作中，坚持内部评价和外部评价相结合，不断提升预算绩效评价工作的客观性，规范专项预算管理。建立预算编制与预算执行挂钩机制，部门预算安排与预算执行进度、预算结余结转情况和审计监督检查情况相挂钩。加强评价结果应用。建立绩效评价结果与预算安排挂钩机制，坚持以绩效为导向安排项目预算，坚决杜绝对偏离政府战略目标、部门绩效目标，以及绩效指标不明确、绩效偏低的项目。夏垫污水处理厂将做好项目预算评审和事前绩效评估，根据相关评审或评估结果安排预算。</w:t>
      </w:r>
    </w:p>
    <w:p>
      <w:pPr>
        <w:numPr>
          <w:ilvl w:val="0"/>
          <w:numId w:val="3"/>
        </w:numPr>
        <w:jc w:val="both"/>
        <w:outlineLvl w:val="0"/>
        <w:rPr>
          <w:rFonts w:hint="eastAsia" w:ascii="楷体_GB2312" w:hAnsi="黑体" w:eastAsia="楷体_GB2312" w:cs="Times New Roman"/>
          <w:b/>
          <w:sz w:val="32"/>
          <w:szCs w:val="32"/>
        </w:rPr>
      </w:pPr>
      <w:r>
        <w:rPr>
          <w:rFonts w:hint="eastAsia" w:ascii="楷体_GB2312" w:hAnsi="黑体" w:eastAsia="楷体_GB2312" w:cs="Times New Roman"/>
          <w:b/>
          <w:sz w:val="32"/>
          <w:szCs w:val="32"/>
        </w:rPr>
        <w:t>分项绩效目标</w:t>
      </w:r>
    </w:p>
    <w:p>
      <w:pPr>
        <w:numPr>
          <w:ilvl w:val="0"/>
          <w:numId w:val="0"/>
        </w:numPr>
        <w:jc w:val="both"/>
        <w:outlineLvl w:val="0"/>
        <w:rPr>
          <w:rFonts w:hint="eastAsia" w:ascii="楷体_GB2312" w:hAnsi="黑体" w:eastAsia="楷体_GB2312" w:cs="Times New Roman"/>
          <w:b/>
          <w:sz w:val="32"/>
          <w:szCs w:val="32"/>
        </w:rPr>
      </w:pPr>
    </w:p>
    <w:tbl>
      <w:tblPr>
        <w:tblStyle w:val="7"/>
        <w:tblW w:w="14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1276"/>
        <w:gridCol w:w="1153"/>
        <w:gridCol w:w="1823"/>
        <w:gridCol w:w="2976"/>
        <w:gridCol w:w="31"/>
        <w:gridCol w:w="1386"/>
        <w:gridCol w:w="812"/>
        <w:gridCol w:w="662"/>
        <w:gridCol w:w="73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3"/>
          <w:gridAfter w:val="5"/>
          <w:wBefore w:w="4770" w:type="dxa"/>
          <w:wAfter w:w="4417" w:type="dxa"/>
          <w:trHeight w:val="855" w:hRule="atLeast"/>
          <w:tblHeader/>
          <w:jc w:val="center"/>
        </w:trPr>
        <w:tc>
          <w:tcPr>
            <w:tcW w:w="4830" w:type="dxa"/>
            <w:gridSpan w:val="3"/>
            <w:tcBorders>
              <w:top w:val="nil"/>
              <w:left w:val="nil"/>
              <w:right w:val="nil"/>
            </w:tcBorders>
          </w:tcPr>
          <w:p>
            <w:pPr>
              <w:jc w:val="center"/>
              <w:outlineLvl w:val="0"/>
              <w:rPr>
                <w:rFonts w:ascii="方正小标宋_GBK" w:eastAsia="方正小标宋_GBK"/>
                <w:sz w:val="32"/>
              </w:rPr>
            </w:pPr>
            <w:bookmarkStart w:id="1" w:name="_Toc477341490"/>
            <w:r>
              <w:rPr>
                <w:rFonts w:hint="eastAsia" w:ascii="方正小标宋_GBK" w:eastAsia="方正小标宋_GBK"/>
                <w:sz w:val="32"/>
              </w:rPr>
              <w:t>部门职责-工作活动绩效目标</w:t>
            </w:r>
          </w:p>
        </w:tc>
      </w:tr>
      <w:bookmarkEnd w:id="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469</w:t>
            </w:r>
            <w:r>
              <w:rPr>
                <w:rFonts w:hint="eastAsia" w:ascii="方正小标宋_GBK" w:eastAsia="方正小标宋_GBK"/>
                <w:sz w:val="24"/>
              </w:rPr>
              <w:t>廊坊市大厂回族自治县夏垫污水处理厂</w:t>
            </w:r>
          </w:p>
        </w:tc>
        <w:tc>
          <w:tcPr>
            <w:tcW w:w="3031"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gridSpan w:val="2"/>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gridSpan w:val="2"/>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031"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gridSpan w:val="2"/>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gridSpan w:val="2"/>
            <w:vMerge w:val="continue"/>
            <w:shd w:val="clear" w:color="auto" w:fill="auto"/>
            <w:vAlign w:val="center"/>
          </w:tcPr>
          <w:p>
            <w:pPr>
              <w:spacing w:line="300" w:lineRule="exact"/>
              <w:jc w:val="left"/>
              <w:outlineLvl w:val="0"/>
            </w:pPr>
          </w:p>
        </w:tc>
        <w:tc>
          <w:tcPr>
            <w:tcW w:w="81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66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8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污水处理与水体防治减排</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370.65</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强化污水治理职能，提高污水厂污水处理设施处理水平以及提高企业清洁生产，和污水排放标准等措施，推进主要水体污染物减排</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达标排放、实现减排目标</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达标排放周期</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66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8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污水处理</w:t>
            </w:r>
          </w:p>
        </w:tc>
        <w:tc>
          <w:tcPr>
            <w:tcW w:w="1276" w:type="dxa"/>
            <w:shd w:val="clear" w:color="auto" w:fill="auto"/>
            <w:vAlign w:val="center"/>
          </w:tcPr>
          <w:p>
            <w:pPr>
              <w:spacing w:line="300" w:lineRule="exact"/>
              <w:jc w:val="left"/>
              <w:rPr>
                <w:rFonts w:hint="eastAsia" w:ascii="方正书宋_GBK" w:eastAsia="方正书宋_GBK"/>
                <w:lang w:val="en-US" w:eastAsia="zh-CN"/>
              </w:rPr>
            </w:pP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解决园区以及夏垫镇区域内非居民和居民的污水处理，保证达标排放，改善鲍丘河水体环境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加强水体防治</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确保污水处理达标率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66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820"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主要水体污染物排放总量控制</w:t>
            </w:r>
          </w:p>
        </w:tc>
        <w:tc>
          <w:tcPr>
            <w:tcW w:w="1276" w:type="dxa"/>
            <w:shd w:val="clear" w:color="auto" w:fill="auto"/>
            <w:vAlign w:val="center"/>
          </w:tcPr>
          <w:p>
            <w:pPr>
              <w:spacing w:line="300" w:lineRule="exact"/>
              <w:jc w:val="left"/>
              <w:rPr>
                <w:rFonts w:ascii="方正书宋_GBK" w:eastAsia="方正书宋_GBK"/>
              </w:rPr>
            </w:pP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通过设备的升级换代，促进企业水污染防治能力，淘汰落后的污水处理设备，开展水污染防治调查与统计，确定完成上级要求总量减排</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主要污染物总量控制</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减排完成率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66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p>
        </w:tc>
        <w:tc>
          <w:tcPr>
            <w:tcW w:w="820"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清洁生产促进</w:t>
            </w:r>
          </w:p>
        </w:tc>
        <w:tc>
          <w:tcPr>
            <w:tcW w:w="1276" w:type="dxa"/>
            <w:shd w:val="clear" w:color="auto" w:fill="auto"/>
            <w:vAlign w:val="center"/>
          </w:tcPr>
          <w:p>
            <w:pPr>
              <w:spacing w:line="300" w:lineRule="exact"/>
              <w:jc w:val="left"/>
              <w:rPr>
                <w:rFonts w:ascii="方正书宋_GBK" w:eastAsia="方正书宋_GBK"/>
              </w:rPr>
            </w:pP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对本企业清洁生产进行自我评估，提高水污染防治水平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通过清洁生产做到</w:t>
            </w:r>
            <w:r>
              <w:rPr>
                <w:rFonts w:hint="cs" w:ascii="方正书宋_GBK" w:eastAsia="方正书宋_GBK"/>
              </w:rPr>
              <w:t>“</w:t>
            </w:r>
            <w:r>
              <w:rPr>
                <w:rFonts w:hint="eastAsia" w:ascii="方正书宋_GBK" w:eastAsia="方正书宋_GBK"/>
              </w:rPr>
              <w:t>节能、降耗、减污、增效</w:t>
            </w:r>
            <w:r>
              <w:rPr>
                <w:rFonts w:hint="cs" w:ascii="方正书宋_GBK" w:eastAsia="方正书宋_GBK"/>
              </w:rPr>
              <w:t>”</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主要水体污染物排放量降低率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66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p>
        </w:tc>
        <w:tc>
          <w:tcPr>
            <w:tcW w:w="820"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ind w:firstLine="422" w:firstLineChars="200"/>
              <w:jc w:val="left"/>
              <w:rPr>
                <w:rFonts w:ascii="方正书宋_GBK" w:eastAsia="方正书宋_GBK"/>
                <w:b/>
              </w:rPr>
            </w:pPr>
            <w:r>
              <w:rPr>
                <w:rFonts w:hint="eastAsia" w:ascii="方正书宋_GBK" w:eastAsia="方正书宋_GBK"/>
                <w:b/>
              </w:rPr>
              <w:t>水污染监测</w:t>
            </w:r>
          </w:p>
        </w:tc>
        <w:tc>
          <w:tcPr>
            <w:tcW w:w="1276" w:type="dxa"/>
            <w:shd w:val="clear" w:color="auto" w:fill="auto"/>
            <w:vAlign w:val="center"/>
          </w:tcPr>
          <w:p>
            <w:pPr>
              <w:spacing w:line="300" w:lineRule="exact"/>
              <w:jc w:val="left"/>
              <w:rPr>
                <w:rFonts w:ascii="方正书宋_GBK" w:eastAsia="方正书宋_GBK"/>
              </w:rPr>
            </w:pP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国控企业应当按照《国家重点监控企业自行监测及信息公开办法（试行）》要求，污水厂抽检以及季度监测工作正常运行</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依法依规的完成污水处理工作，保证各级检查达标监测</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监测合格率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66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rPr>
                <w:rFonts w:ascii="方正书宋_GBK" w:eastAsia="方正书宋_GBK"/>
              </w:rPr>
            </w:pPr>
            <w:r>
              <w:rPr>
                <w:rFonts w:hint="eastAsia" w:ascii="方正书宋_GBK" w:eastAsia="方正书宋_GBK"/>
              </w:rPr>
              <w:t>60%</w:t>
            </w:r>
          </w:p>
        </w:tc>
        <w:tc>
          <w:tcPr>
            <w:tcW w:w="8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在线正常运转</w:t>
            </w:r>
          </w:p>
        </w:tc>
        <w:tc>
          <w:tcPr>
            <w:tcW w:w="1276" w:type="dxa"/>
            <w:shd w:val="clear" w:color="auto" w:fill="auto"/>
            <w:vAlign w:val="center"/>
          </w:tcPr>
          <w:p>
            <w:pPr>
              <w:spacing w:line="300" w:lineRule="exact"/>
              <w:jc w:val="left"/>
              <w:rPr>
                <w:rFonts w:ascii="方正书宋_GBK" w:eastAsia="方正书宋_GBK"/>
              </w:rPr>
            </w:pP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自行监测活动可以采用手工监测、自动监测或者手工监测与自动监测相结合的技术手段，提升信息化收集水平、存储。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进水口、出水口在线系统以及信息化建设，保障正常运行，正常使用率和数据传输有效率</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各种有效率正比例</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66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p>
        </w:tc>
        <w:tc>
          <w:tcPr>
            <w:tcW w:w="820"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ind w:firstLine="316" w:firstLineChars="150"/>
              <w:jc w:val="left"/>
              <w:rPr>
                <w:rFonts w:ascii="方正书宋_GBK" w:eastAsia="方正书宋_GBK"/>
                <w:b/>
              </w:rPr>
            </w:pPr>
            <w:r>
              <w:rPr>
                <w:rFonts w:hint="eastAsia" w:ascii="方正书宋_GBK" w:eastAsia="方正书宋_GBK"/>
                <w:b/>
              </w:rPr>
              <w:t>污水厂政务管理</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344.60</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负责污水处理厂的管理运转工作和事物管理、建立制度，负责国有资产管理，确保污水处理费得收取率和国有资产不流失</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加强污水厂管理，各项支出按计划进行支出</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管理达标率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66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rPr>
                <w:rFonts w:ascii="方正书宋_GBK" w:eastAsia="方正书宋_GBK"/>
              </w:rPr>
            </w:pPr>
            <w:r>
              <w:rPr>
                <w:rFonts w:hint="eastAsia" w:ascii="方正书宋_GBK" w:eastAsia="方正书宋_GBK"/>
              </w:rPr>
              <w:t>60%</w:t>
            </w:r>
          </w:p>
        </w:tc>
        <w:tc>
          <w:tcPr>
            <w:tcW w:w="8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设备正常运转</w:t>
            </w:r>
          </w:p>
        </w:tc>
        <w:tc>
          <w:tcPr>
            <w:tcW w:w="1276" w:type="dxa"/>
            <w:shd w:val="clear" w:color="auto" w:fill="auto"/>
            <w:vAlign w:val="center"/>
          </w:tcPr>
          <w:p>
            <w:pPr>
              <w:spacing w:line="300" w:lineRule="exact"/>
              <w:jc w:val="left"/>
              <w:rPr>
                <w:rFonts w:ascii="方正书宋_GBK" w:eastAsia="方正书宋_GBK"/>
              </w:rPr>
            </w:pP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确保设备正常保养、损坏设备及时维修，报废设备及时更换，降低停产发生</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设备正常运转率</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设备正常运转保障率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66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rPr>
                <w:rFonts w:ascii="方正书宋_GBK" w:eastAsia="方正书宋_GBK"/>
              </w:rPr>
            </w:pPr>
            <w:r>
              <w:rPr>
                <w:rFonts w:hint="eastAsia" w:ascii="方正书宋_GBK" w:eastAsia="方正书宋_GBK"/>
              </w:rPr>
              <w:t>60%</w:t>
            </w:r>
          </w:p>
        </w:tc>
        <w:tc>
          <w:tcPr>
            <w:tcW w:w="8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加强污水处理设备技术更新的推广，污水处理费收费管理，保证环保专项资金的正常使用，加强环保创新能力，加大实验室以及环境监测的力度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保证各项业务工作完成率</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业务保证率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66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rPr>
                <w:rFonts w:ascii="方正书宋_GBK" w:eastAsia="方正书宋_GBK"/>
              </w:rPr>
            </w:pPr>
            <w:r>
              <w:rPr>
                <w:rFonts w:hint="eastAsia" w:ascii="方正书宋_GBK" w:eastAsia="方正书宋_GBK"/>
              </w:rPr>
              <w:t>60%</w:t>
            </w:r>
          </w:p>
        </w:tc>
        <w:tc>
          <w:tcPr>
            <w:tcW w:w="8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确保各项事有序开展，务开展污水处理费的宣传节水教育组织全厂培训，加强调查研究，提高管理意识和业务能力保证国有资产不流失，制定相关制度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保证各项事务完成率</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事务保证率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66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rPr>
                <w:rFonts w:ascii="方正书宋_GBK" w:eastAsia="方正书宋_GBK"/>
              </w:rPr>
            </w:pPr>
            <w:r>
              <w:rPr>
                <w:rFonts w:hint="eastAsia" w:ascii="方正书宋_GBK" w:eastAsia="方正书宋_GBK"/>
              </w:rPr>
              <w:t>60%</w:t>
            </w:r>
          </w:p>
        </w:tc>
        <w:tc>
          <w:tcPr>
            <w:tcW w:w="8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应急处置</w:t>
            </w:r>
          </w:p>
        </w:tc>
        <w:tc>
          <w:tcPr>
            <w:tcW w:w="1276" w:type="dxa"/>
            <w:shd w:val="clear" w:color="auto" w:fill="auto"/>
            <w:vAlign w:val="center"/>
          </w:tcPr>
          <w:p>
            <w:pPr>
              <w:spacing w:line="300" w:lineRule="exact"/>
              <w:jc w:val="left"/>
              <w:rPr>
                <w:rFonts w:ascii="方正书宋_GBK" w:eastAsia="方正书宋_GBK"/>
              </w:rPr>
            </w:pP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应对突发环境污染事故</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保障污水防治规划、法律法规标准执行，应对突发环境事件</w:t>
            </w:r>
          </w:p>
        </w:tc>
        <w:tc>
          <w:tcPr>
            <w:tcW w:w="1417"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应急预案、应急演练、突发水体污染处置率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662"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rPr>
                <w:rFonts w:ascii="方正书宋_GBK" w:eastAsia="方正书宋_GBK"/>
              </w:rPr>
            </w:pPr>
          </w:p>
        </w:tc>
        <w:tc>
          <w:tcPr>
            <w:tcW w:w="820" w:type="dxa"/>
            <w:shd w:val="clear" w:color="auto" w:fill="auto"/>
            <w:vAlign w:val="center"/>
          </w:tcPr>
          <w:p>
            <w:pPr>
              <w:spacing w:line="300" w:lineRule="exact"/>
              <w:jc w:val="center"/>
              <w:rPr>
                <w:rFonts w:ascii="方正书宋_GBK" w:eastAsia="方正书宋_GBK"/>
              </w:rPr>
            </w:pPr>
          </w:p>
        </w:tc>
      </w:tr>
    </w:tbl>
    <w:p>
      <w:pPr>
        <w:jc w:val="both"/>
        <w:outlineLvl w:val="0"/>
        <w:rPr>
          <w:rFonts w:hint="eastAsia" w:ascii="楷体_GB2312" w:hAnsi="黑体" w:eastAsia="楷体_GB2312" w:cs="Times New Roman"/>
          <w:b/>
          <w:sz w:val="32"/>
          <w:szCs w:val="32"/>
          <w:lang w:val="en-US" w:eastAsia="zh-CN"/>
        </w:rPr>
      </w:pPr>
      <w:r>
        <w:rPr>
          <w:rFonts w:hint="eastAsia" w:ascii="楷体_GB2312" w:hAnsi="黑体" w:eastAsia="楷体_GB2312" w:cs="Times New Roman"/>
          <w:b/>
          <w:sz w:val="32"/>
          <w:szCs w:val="32"/>
          <w:lang w:val="en-US" w:eastAsia="zh-CN"/>
        </w:rPr>
        <w:t>（三）工作保障措施</w:t>
      </w:r>
    </w:p>
    <w:p>
      <w:pPr>
        <w:autoSpaceDE w:val="0"/>
        <w:autoSpaceDN w:val="0"/>
        <w:adjustRightInd w:val="0"/>
        <w:ind w:firstLine="640"/>
        <w:jc w:val="left"/>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加强污水处理设备技术更新的推广，污水处理费收费管理，保证环保专项资金的正常使用，加强环保创新能力，加大实验室以及环境监测的力度。</w:t>
      </w:r>
    </w:p>
    <w:p>
      <w:pPr>
        <w:numPr>
          <w:ilvl w:val="0"/>
          <w:numId w:val="4"/>
        </w:num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资金绩效目标</w:t>
      </w:r>
    </w:p>
    <w:p>
      <w:pPr>
        <w:numPr>
          <w:ilvl w:val="0"/>
          <w:numId w:val="0"/>
        </w:numPr>
        <w:spacing w:line="584" w:lineRule="exact"/>
        <w:ind w:firstLine="560" w:firstLineChars="200"/>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1.药剂费</w:t>
      </w:r>
      <w:r>
        <w:rPr>
          <w:rFonts w:ascii="Times New Roman" w:hAnsi="Times New Roman" w:eastAsia="仿宋_GB2312" w:cs="Times New Roman"/>
          <w:sz w:val="28"/>
        </w:rPr>
        <w:t>绩效目标表</w:t>
      </w:r>
    </w:p>
    <w:tbl>
      <w:tblPr>
        <w:tblStyle w:val="7"/>
        <w:tblpPr w:leftFromText="180" w:rightFromText="180" w:vertAnchor="text" w:horzAnchor="page" w:tblpX="1493" w:tblpY="618"/>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通过项目的开展实现按月花费生产成本，保障机器设备正常运行完成。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有效控制成本 </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控制成本数量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&gt;=50吨</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单位购置数量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购买入库的数量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&gt;=50吨</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及时完成交易</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完成交易时间</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=365天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完成效益</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完成效益率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&gt;=90率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完成处理率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完成处理率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&gt;=90天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社会满意度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社会满意度调查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&gt;=90人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调查表</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2" w:name="_Toc29799657"/>
      <w:r>
        <w:rPr>
          <w:rFonts w:ascii="Times New Roman" w:hAnsi="Times New Roman" w:eastAsia="仿宋_GB2312" w:cs="Times New Roman"/>
          <w:sz w:val="28"/>
        </w:rPr>
        <w:instrText xml:space="preserve">2、办公自动化（OA）和督查督办系统升级及推广费绩效目标表</w:instrText>
      </w:r>
      <w:bookmarkEnd w:id="2"/>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维修维护费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他修护费，实现机器、设备设施维修和厂房维修及其他修护费项目按时完成。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正常运转达标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正常运转达标率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&gt;=100率</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维修个数 </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维修个数 </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&gt;=100人数</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完成时效</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完成时效天数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&gt;=365天</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污水厂正常运转天数</w:t>
            </w:r>
          </w:p>
        </w:tc>
        <w:tc>
          <w:tcPr>
            <w:tcW w:w="3402"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正常运转天数</w:t>
            </w:r>
          </w:p>
        </w:tc>
        <w:tc>
          <w:tcPr>
            <w:tcW w:w="1843" w:type="dxa"/>
            <w:shd w:val="clear" w:color="auto" w:fill="auto"/>
            <w:vAlign w:val="center"/>
          </w:tcPr>
          <w:p>
            <w:pP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&gt;=365天</w:t>
            </w:r>
          </w:p>
        </w:tc>
        <w:tc>
          <w:tcPr>
            <w:tcW w:w="2155"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rPr>
                <w:rFonts w:ascii="Times New Roman" w:hAnsi="Times New Roman" w:eastAsia="仿宋_GB2312" w:cs="Times New Roman"/>
              </w:rPr>
            </w:pPr>
          </w:p>
        </w:tc>
        <w:tc>
          <w:tcPr>
            <w:tcW w:w="1843" w:type="dxa"/>
            <w:shd w:val="clear" w:color="auto" w:fill="auto"/>
            <w:vAlign w:val="center"/>
          </w:tcPr>
          <w:p>
            <w:pPr>
              <w:rPr>
                <w:rFonts w:ascii="Times New Roman" w:hAnsi="Times New Roman" w:eastAsia="仿宋_GB2312" w:cs="Times New Roman"/>
              </w:rPr>
            </w:pPr>
          </w:p>
        </w:tc>
        <w:tc>
          <w:tcPr>
            <w:tcW w:w="2155" w:type="dxa"/>
            <w:shd w:val="clear" w:color="auto" w:fill="auto"/>
            <w:vAlign w:val="center"/>
          </w:tcPr>
          <w:p>
            <w:pP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群众调查</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调查满意度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&gt;=100人</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调查表</w:t>
            </w:r>
          </w:p>
        </w:tc>
      </w:tr>
    </w:tbl>
    <w:p>
      <w:pPr>
        <w:ind w:firstLine="560" w:firstLineChars="200"/>
        <w:jc w:val="left"/>
        <w:outlineLvl w:val="1"/>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3.运行经费（财补）</w:t>
      </w:r>
      <w:r>
        <w:rPr>
          <w:rFonts w:ascii="Times New Roman" w:hAnsi="Times New Roman" w:eastAsia="仿宋_GB2312" w:cs="Times New Roman"/>
          <w:sz w:val="28"/>
        </w:rPr>
        <w:t>绩效目标表</w:t>
      </w:r>
    </w:p>
    <w:tbl>
      <w:tblPr>
        <w:tblStyle w:val="7"/>
        <w:tblpPr w:leftFromText="180" w:rightFromText="180" w:vertAnchor="text" w:horzAnchor="page" w:tblpX="1493" w:tblpY="618"/>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按时发放单位人员经费主要包括人员工资、保险、取暖补贴、伙食补贴费、工会费。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人员工资成本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人员工资成本</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&gt;=29人员</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人员发放数量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人员发放数量</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&gt;=29人</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发放人员时效</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发放人员时间</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eastAsia="zh-CN"/>
              </w:rPr>
            </w:pPr>
            <w:r>
              <w:rPr>
                <w:rFonts w:hint="eastAsia" w:ascii="宋体" w:hAnsi="宋体" w:eastAsia="宋体" w:cs="宋体"/>
                <w:i w:val="0"/>
                <w:color w:val="000000"/>
                <w:kern w:val="0"/>
                <w:sz w:val="18"/>
                <w:szCs w:val="18"/>
                <w:u w:val="none"/>
                <w:lang w:val="en-US" w:eastAsia="zh-CN" w:bidi="ar"/>
              </w:rPr>
              <w:t>&gt;=12次</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人员运转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人员正常运转效益</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&gt;=365天</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2155" w:type="dxa"/>
            <w:shd w:val="clear" w:color="auto" w:fill="auto"/>
            <w:vAlign w:val="center"/>
          </w:tcPr>
          <w:p>
            <w:pP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人员调查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社会满意度调查</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bl>
    <w:p>
      <w:pPr>
        <w:numPr>
          <w:ilvl w:val="0"/>
          <w:numId w:val="0"/>
        </w:numPr>
        <w:spacing w:line="584" w:lineRule="exac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4.</w:t>
      </w:r>
      <w:r>
        <w:rPr>
          <w:rFonts w:hint="eastAsia" w:ascii="Times New Roman" w:hAnsi="Times New Roman" w:eastAsia="仿宋_GB2312" w:cs="Times New Roman"/>
          <w:sz w:val="28"/>
          <w:lang w:val="en-US" w:eastAsia="zh-CN"/>
        </w:rPr>
        <w:t>电费（财补）</w:t>
      </w:r>
      <w:r>
        <w:rPr>
          <w:rFonts w:ascii="Times New Roman" w:hAnsi="Times New Roman" w:eastAsia="仿宋_GB2312" w:cs="Times New Roman"/>
          <w:sz w:val="28"/>
        </w:rPr>
        <w:t>绩效目标表</w:t>
      </w: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通过项目的开展完成电费，实现电费项目按时完成。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正常运行天数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实际运行天数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&gt;=365天</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时间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及时足供电率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&gt;=0次</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供电成本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按月节约缴纳电费数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&lt;=90%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节能效益</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节能效益比</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=50%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社会影响力</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在全国或全省产生的重要影响，得到广大受众的充分认可。</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生态效益指标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环境改善</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人员改善率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运行人员满意度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bl>
    <w:p>
      <w:pPr>
        <w:numPr>
          <w:ilvl w:val="0"/>
          <w:numId w:val="5"/>
        </w:num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设备购置</w:t>
      </w:r>
      <w:r>
        <w:rPr>
          <w:rFonts w:ascii="Times New Roman" w:hAnsi="Times New Roman" w:eastAsia="仿宋_GB2312" w:cs="Times New Roman"/>
          <w:sz w:val="28"/>
        </w:rPr>
        <w:t>绩效目标表</w:t>
      </w:r>
    </w:p>
    <w:tbl>
      <w:tblPr>
        <w:tblStyle w:val="7"/>
        <w:tblpPr w:leftFromText="180" w:rightFromText="180" w:vertAnchor="text" w:horzAnchor="page" w:tblpX="1493" w:tblpY="618"/>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通过项目的开展完成机器、设备设施维修和厂房维修及其他修护费，实现机器、设备设施维修和厂房维修及其他修护费项目按时完成。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购置成本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产生成本低价数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&lt;100%</w:t>
            </w:r>
          </w:p>
        </w:tc>
        <w:tc>
          <w:tcPr>
            <w:tcW w:w="2155"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购置设备数量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购置设备数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&gt;=10次</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Times New Roman" w:hAnsi="Times New Roman" w:eastAsia="仿宋_GB2312" w:cs="Times New Roman"/>
                <w:lang w:val="en-US" w:eastAsia="zh-CN"/>
              </w:rPr>
              <w:t>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完成率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当年务完成情况</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eastAsia="zh-CN"/>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Times New Roman" w:hAnsi="Times New Roman" w:eastAsia="仿宋_GB2312" w:cs="Times New Roman"/>
                <w:lang w:val="en-US" w:eastAsia="zh-CN"/>
              </w:rPr>
              <w:t>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ind w:firstLine="356" w:firstLineChars="0"/>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社会影响力</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在全国或全省产生的重要影响，得到广大受众的充分认可。</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&lt;100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绩效指标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2155" w:type="dxa"/>
            <w:shd w:val="clear" w:color="auto" w:fill="auto"/>
            <w:vAlign w:val="center"/>
          </w:tcPr>
          <w:p>
            <w:pP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群众满意数量占总数的比例。</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&gt;=50%</w:t>
            </w:r>
          </w:p>
        </w:tc>
        <w:tc>
          <w:tcPr>
            <w:tcW w:w="2155"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绩效指标</w:t>
            </w:r>
          </w:p>
        </w:tc>
      </w:tr>
    </w:tbl>
    <w:p>
      <w:pPr>
        <w:numPr>
          <w:ilvl w:val="0"/>
          <w:numId w:val="0"/>
        </w:numPr>
        <w:spacing w:line="584" w:lineRule="exact"/>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6.运行经费绩效目标表</w:t>
      </w:r>
    </w:p>
    <w:tbl>
      <w:tblPr>
        <w:tblStyle w:val="7"/>
        <w:tblpPr w:leftFromText="180" w:rightFromText="180" w:vertAnchor="text" w:horzAnchor="page" w:tblpX="1493" w:tblpY="618"/>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按时发放单位人员经费主要包括人员工资、保险、取暖补贴、伙食补贴费、工会费。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人工成本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每月人工成本</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&gt;=29人员</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64号文件、工资表、取暖补贴通知、通讯补贴通知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人数 </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发放人数</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&gt;=29人</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64号文件、工资表、取暖补贴通知、通讯补贴通知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一年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每月月底前发放一次</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eastAsia="zh-CN"/>
              </w:rPr>
            </w:pPr>
            <w:r>
              <w:rPr>
                <w:rFonts w:hint="eastAsia" w:ascii="宋体" w:hAnsi="宋体" w:eastAsia="宋体" w:cs="宋体"/>
                <w:i w:val="0"/>
                <w:color w:val="000000"/>
                <w:kern w:val="0"/>
                <w:sz w:val="18"/>
                <w:szCs w:val="18"/>
                <w:u w:val="none"/>
                <w:lang w:val="en-US" w:eastAsia="zh-CN" w:bidi="ar"/>
              </w:rPr>
              <w:t>&gt;=12次</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64号文件、工资表、取暖补贴通知、通讯补贴通知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可持续影响指标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发放率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覆盖所有（人数的）发放率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&gt;=365天</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64号文件、工资表、取暖补贴通知、通讯补贴通知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64号文件、工资表、取暖补贴通知、通讯补贴通知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人员调查</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发放人数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64号文件、工资表、取暖补贴通知、通讯补贴通知 </w:t>
            </w:r>
          </w:p>
        </w:tc>
      </w:tr>
    </w:tbl>
    <w:p>
      <w:pPr>
        <w:numPr>
          <w:ilvl w:val="0"/>
          <w:numId w:val="0"/>
        </w:numPr>
        <w:spacing w:line="584" w:lineRule="exact"/>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7.在线监测购置以及管理费绩效目标表</w:t>
      </w: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通过项目的开展完成三方监测费，实现三方监测费项目按时完成。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成本标准</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控制成本率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&gt;=6台</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《关于加强固定污染源氮磷污染防治的通知》（以下简称《通知》）环水体[2018]16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安装数量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安装台数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&gt;=12台</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《关于加强固定污染源氮磷污染防治的通知》（以下简称《通知》）环水体[2018]16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rPr>
                <w:rFonts w:ascii="Times New Roman" w:hAnsi="Times New Roman" w:eastAsia="仿宋_GB2312" w:cs="Times New Roman"/>
              </w:rPr>
            </w:pPr>
          </w:p>
        </w:tc>
        <w:tc>
          <w:tcPr>
            <w:tcW w:w="1843" w:type="dxa"/>
            <w:shd w:val="clear" w:color="auto" w:fill="auto"/>
            <w:vAlign w:val="center"/>
          </w:tcPr>
          <w:p>
            <w:pP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《关于加强固定污染源氮磷污染防治的通知》（以下简称《通知》）环水体[2018]16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固定资产增加数量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增加固定资产数量</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&gt;=2次</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《关于加强固定污染源氮磷污染防治的通知》（以下简称《通知》）环水体[2018]16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达到绿色产业标准</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不进行基础设施建设，不对生态环境产生坏的影响，属于绿色生态产业。</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《关于加强固定污染源氮磷污染防治的通知》（以下简称《通知》）环水体[2018]16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受益人口满意度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满意人数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&gt;=6年</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《关于加强固定污染源氮磷污染防治的通知》（以下简称《通知》）环水体[2018]16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tbl>
            <w:tblPr>
              <w:tblStyle w:val="7"/>
              <w:tblW w:w="5370" w:type="dxa"/>
              <w:tblInd w:w="-15" w:type="dxa"/>
              <w:shd w:val="clear" w:color="auto" w:fill="auto"/>
              <w:tblLayout w:type="fixed"/>
              <w:tblCellMar>
                <w:top w:w="0" w:type="dxa"/>
                <w:left w:w="0" w:type="dxa"/>
                <w:bottom w:w="0" w:type="dxa"/>
                <w:right w:w="0" w:type="dxa"/>
              </w:tblCellMar>
            </w:tblPr>
            <w:tblGrid>
              <w:gridCol w:w="1800"/>
              <w:gridCol w:w="3570"/>
            </w:tblGrid>
            <w:tr>
              <w:tblPrEx>
                <w:shd w:val="clear" w:color="auto" w:fill="auto"/>
                <w:tblCellMar>
                  <w:top w:w="0" w:type="dxa"/>
                  <w:left w:w="0" w:type="dxa"/>
                  <w:bottom w:w="0" w:type="dxa"/>
                  <w:right w:w="0" w:type="dxa"/>
                </w:tblCellMar>
              </w:tblPrEx>
              <w:trPr>
                <w:trHeight w:val="1215" w:hRule="atLeast"/>
              </w:trPr>
              <w:tc>
                <w:tcPr>
                  <w:tcW w:w="18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受益人口满意度</w:t>
                  </w:r>
                </w:p>
              </w:tc>
              <w:tc>
                <w:tcPr>
                  <w:tcW w:w="357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人员满意度</w:t>
                  </w:r>
                </w:p>
              </w:tc>
            </w:tr>
          </w:tbl>
          <w:p>
            <w:pPr>
              <w:keepNext w:val="0"/>
              <w:keepLines w:val="0"/>
              <w:widowControl/>
              <w:suppressLineNumbers w:val="0"/>
              <w:jc w:val="left"/>
              <w:textAlignment w:val="cente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人员满意度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《关于加强固定污染源氮磷污染防治的通知》（以下简称《通知》）环水体[2018]16</w:t>
            </w:r>
          </w:p>
        </w:tc>
      </w:tr>
    </w:tbl>
    <w:p>
      <w:pPr>
        <w:numPr>
          <w:ilvl w:val="0"/>
          <w:numId w:val="6"/>
        </w:numPr>
        <w:spacing w:line="584" w:lineRule="exact"/>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第三方监测以及编制应急预案服务费绩效目标表</w:t>
      </w: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通过项目的开展完成电费，实现电费项目按时完成。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财政投入水平</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监测编制标准</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&gt;=10侧</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产出水质的标准</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产出水质的标准</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及时编制监测</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及时监测天数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&gt;=100田</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完成经济比例</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产出水质的标准</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&gt;=25项</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可持续影响指标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对厂子影响</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对标准把空率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rPr>
                <w:rFonts w:ascii="Times New Roman" w:hAnsi="Times New Roman" w:eastAsia="仿宋_GB2312" w:cs="Times New Roman"/>
              </w:rPr>
            </w:pPr>
          </w:p>
        </w:tc>
        <w:tc>
          <w:tcPr>
            <w:tcW w:w="1843" w:type="dxa"/>
            <w:shd w:val="clear" w:color="auto" w:fill="auto"/>
            <w:vAlign w:val="center"/>
          </w:tcPr>
          <w:p>
            <w:pPr>
              <w:rPr>
                <w:rFonts w:hint="default" w:ascii="Times New Roman" w:hAnsi="Times New Roman" w:eastAsia="仿宋_GB2312" w:cs="Times New Roman"/>
                <w:lang w:val="en-US"/>
              </w:rPr>
            </w:pPr>
          </w:p>
        </w:tc>
        <w:tc>
          <w:tcPr>
            <w:tcW w:w="2155" w:type="dxa"/>
            <w:shd w:val="clear" w:color="auto" w:fill="auto"/>
            <w:vAlign w:val="center"/>
          </w:tcPr>
          <w:p>
            <w:pP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群众满意度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调查人员</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&gt;=29人</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调查表</w:t>
            </w:r>
          </w:p>
        </w:tc>
      </w:tr>
    </w:tbl>
    <w:p>
      <w:pPr>
        <w:numPr>
          <w:ilvl w:val="0"/>
          <w:numId w:val="6"/>
        </w:numPr>
        <w:spacing w:line="584" w:lineRule="exact"/>
        <w:ind w:left="0" w:leftChars="0" w:firstLine="0" w:firstLineChars="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电费绩效目标表</w:t>
      </w: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此项目为经常性项目，及时按月交付电费，确保机器设备正常运行。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电费成本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每月电费成本</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&lt;=10万元</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电费发票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电度数 </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用电数量</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&lt;=190000千瓦时</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电费发票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正常运转率</w:t>
            </w:r>
          </w:p>
        </w:tc>
        <w:tc>
          <w:tcPr>
            <w:tcW w:w="3402"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正常运转天数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设备运转数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电费成本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正常运转率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&lt;=90%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电费发票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运行人员满意度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设备运转数</w:t>
            </w:r>
          </w:p>
        </w:tc>
      </w:tr>
    </w:tbl>
    <w:p>
      <w:pPr>
        <w:numPr>
          <w:ilvl w:val="0"/>
          <w:numId w:val="0"/>
        </w:numPr>
        <w:spacing w:line="584" w:lineRule="exact"/>
        <w:ind w:leftChars="0"/>
        <w:rPr>
          <w:rFonts w:hint="default" w:ascii="Times New Roman" w:hAnsi="Times New Roman" w:eastAsia="仿宋_GB2312" w:cs="Times New Roman"/>
          <w:sz w:val="28"/>
          <w:lang w:val="en-US" w:eastAsia="zh-CN"/>
        </w:rPr>
      </w:pPr>
    </w:p>
    <w:p>
      <w:pPr>
        <w:autoSpaceDE w:val="0"/>
        <w:autoSpaceDN w:val="0"/>
        <w:adjustRightInd w:val="0"/>
        <w:ind w:firstLine="640"/>
        <w:jc w:val="left"/>
        <w:rPr>
          <w:rFonts w:hint="default" w:ascii="仿宋" w:hAnsi="仿宋" w:eastAsia="仿宋" w:cs="仿宋"/>
          <w:sz w:val="32"/>
          <w:szCs w:val="24"/>
          <w:lang w:val="en-US" w:eastAsia="zh-CN"/>
        </w:rPr>
      </w:pPr>
      <w:r>
        <w:rPr>
          <w:rFonts w:hint="eastAsia" w:ascii="仿宋" w:hAnsi="仿宋" w:eastAsia="仿宋" w:cs="仿宋"/>
          <w:sz w:val="32"/>
          <w:szCs w:val="24"/>
          <w:lang w:val="en-US" w:eastAsia="zh-CN"/>
        </w:rPr>
        <w:t>10.污泥车辆费绩效目标表</w:t>
      </w:r>
    </w:p>
    <w:bookmarkEnd w:id="0"/>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rPr>
              <w:t>包含2车辆油费、保险、车检、维修及保养。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项目支出成本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成本数量</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&gt;=2辆</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车辆使用规定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使用车辆数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使用车辆数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&gt;=2辆</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车辆数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车辆保养维修率</w:t>
            </w:r>
          </w:p>
        </w:tc>
        <w:tc>
          <w:tcPr>
            <w:tcW w:w="3402"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车辆维修率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设备率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p>
        </w:tc>
        <w:tc>
          <w:tcPr>
            <w:tcW w:w="2155" w:type="dxa"/>
            <w:shd w:val="clear" w:color="auto" w:fill="auto"/>
            <w:vAlign w:val="center"/>
          </w:tcPr>
          <w:p>
            <w:pP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正常设备运转数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正常设备数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设备率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人员满意度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人员满意度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调查率</w:t>
            </w:r>
          </w:p>
        </w:tc>
      </w:tr>
    </w:tbl>
    <w:p>
      <w:pPr>
        <w:autoSpaceDE w:val="0"/>
        <w:autoSpaceDN w:val="0"/>
        <w:adjustRightInd w:val="0"/>
        <w:ind w:firstLine="640"/>
        <w:jc w:val="left"/>
        <w:rPr>
          <w:rFonts w:hint="default" w:ascii="仿宋" w:hAnsi="仿宋" w:eastAsia="仿宋" w:cs="仿宋"/>
          <w:sz w:val="32"/>
          <w:szCs w:val="24"/>
          <w:lang w:val="en-US" w:eastAsia="zh-CN"/>
        </w:rPr>
      </w:pPr>
      <w:r>
        <w:rPr>
          <w:rFonts w:hint="eastAsia" w:ascii="仿宋" w:hAnsi="仿宋" w:eastAsia="仿宋" w:cs="仿宋"/>
          <w:sz w:val="32"/>
          <w:szCs w:val="24"/>
          <w:lang w:val="en-US" w:eastAsia="zh-CN"/>
        </w:rPr>
        <w:t>11.专用材料费绩效目标表</w:t>
      </w: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rPr>
              <w:t>用于设备日常保养.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设备保养成本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设备保养成本数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&gt;=50台</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设备保养个数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设备保养个数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&gt;=50台</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设备质量</w:t>
            </w:r>
          </w:p>
        </w:tc>
        <w:tc>
          <w:tcPr>
            <w:tcW w:w="3402"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设备质量</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&gt;=50台</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p>
        </w:tc>
        <w:tc>
          <w:tcPr>
            <w:tcW w:w="2155" w:type="dxa"/>
            <w:shd w:val="clear" w:color="auto" w:fill="auto"/>
            <w:vAlign w:val="center"/>
          </w:tcPr>
          <w:p>
            <w:pP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经济成本效益</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2"/>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设备率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人员满意度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人员满意度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调查率</w:t>
            </w:r>
          </w:p>
        </w:tc>
      </w:tr>
    </w:tbl>
    <w:p>
      <w:pPr>
        <w:numPr>
          <w:ilvl w:val="0"/>
          <w:numId w:val="0"/>
        </w:numPr>
        <w:spacing w:line="584" w:lineRule="exact"/>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12.代征手续费、税金绩效目标表 </w:t>
      </w: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rPr>
              <w:t>2020年我单位预计污水处理费收入为240万元，用于给付供水总公司的代征污水处理费的手续费、税金等费用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人均财政投入水平</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基本公人均财政补助标准</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&gt;=240万元</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按季度缴纳</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按季度缴纳个数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=4个季度</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完成缴纳</w:t>
            </w:r>
          </w:p>
        </w:tc>
        <w:tc>
          <w:tcPr>
            <w:tcW w:w="3402"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完成缴纳率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p>
        </w:tc>
        <w:tc>
          <w:tcPr>
            <w:tcW w:w="2155" w:type="dxa"/>
            <w:shd w:val="clear" w:color="auto" w:fill="auto"/>
            <w:vAlign w:val="center"/>
          </w:tcPr>
          <w:p>
            <w:pP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2"/>
                <w:sz w:val="21"/>
                <w:szCs w:val="22"/>
                <w:lang w:val="en-US" w:eastAsia="zh-CN" w:bidi="ar-SA"/>
              </w:rPr>
            </w:pPr>
            <w:r>
              <w:rPr>
                <w:rFonts w:hint="eastAsia" w:ascii="宋体" w:hAnsi="宋体" w:eastAsia="宋体" w:cs="宋体"/>
                <w:i w:val="0"/>
                <w:color w:val="000000"/>
                <w:kern w:val="0"/>
                <w:sz w:val="18"/>
                <w:szCs w:val="18"/>
                <w:u w:val="none"/>
                <w:lang w:val="en-US" w:eastAsia="zh-CN" w:bidi="ar"/>
              </w:rPr>
              <w:t>财政缴纳率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财政缴纳率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2"/>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设备率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人员满意度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人员满意度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调查率</w:t>
            </w:r>
          </w:p>
        </w:tc>
      </w:tr>
    </w:tbl>
    <w:p>
      <w:pPr>
        <w:numPr>
          <w:ilvl w:val="0"/>
          <w:numId w:val="0"/>
        </w:numPr>
        <w:spacing w:line="584" w:lineRule="exact"/>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13.水费绩效目标表</w:t>
      </w: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rPr>
              <w:t>水费按运行进行支付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控制水费成本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控制水费成本</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&gt;=3月</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缴纳水费月数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缴纳水费月数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&gt;=12月</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水质质量</w:t>
            </w:r>
          </w:p>
        </w:tc>
        <w:tc>
          <w:tcPr>
            <w:tcW w:w="3402"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水质质量</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&gt;=365天</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p>
        </w:tc>
        <w:tc>
          <w:tcPr>
            <w:tcW w:w="2155" w:type="dxa"/>
            <w:shd w:val="clear" w:color="auto" w:fill="auto"/>
            <w:vAlign w:val="center"/>
          </w:tcPr>
          <w:p>
            <w:pP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2"/>
                <w:sz w:val="21"/>
                <w:szCs w:val="22"/>
                <w:lang w:val="en-US" w:eastAsia="zh-CN" w:bidi="ar-SA"/>
              </w:rPr>
            </w:pPr>
            <w:r>
              <w:rPr>
                <w:rFonts w:hint="eastAsia" w:ascii="宋体" w:hAnsi="宋体" w:eastAsia="宋体" w:cs="宋体"/>
                <w:i w:val="0"/>
                <w:color w:val="000000"/>
                <w:kern w:val="0"/>
                <w:sz w:val="18"/>
                <w:szCs w:val="18"/>
                <w:u w:val="none"/>
                <w:lang w:val="en-US" w:eastAsia="zh-CN" w:bidi="ar"/>
              </w:rPr>
              <w:t>完成水质情况</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影响水质数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2"/>
                <w:lang w:val="en-US" w:eastAsia="zh-CN" w:bidi="ar-SA"/>
              </w:rPr>
            </w:pPr>
            <w:r>
              <w:rPr>
                <w:rFonts w:hint="eastAsia" w:ascii="宋体" w:hAnsi="宋体" w:eastAsia="宋体" w:cs="宋体"/>
                <w:i w:val="0"/>
                <w:color w:val="000000"/>
                <w:kern w:val="0"/>
                <w:sz w:val="18"/>
                <w:szCs w:val="18"/>
                <w:u w:val="none"/>
                <w:lang w:val="en-US" w:eastAsia="zh-CN" w:bidi="ar"/>
              </w:rPr>
              <w:t>&gt;=365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设备率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人员满意度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人员满意度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调查率</w:t>
            </w:r>
          </w:p>
        </w:tc>
      </w:tr>
    </w:tbl>
    <w:p>
      <w:pPr>
        <w:numPr>
          <w:ilvl w:val="0"/>
          <w:numId w:val="0"/>
        </w:numPr>
        <w:spacing w:line="584" w:lineRule="exact"/>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14.办公费绩效目标表</w:t>
      </w: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通过项目的开展实现按月花费生产成本，保障机器设备正常运行完成。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生产成本</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生产成本</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&gt;=15万元</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三定方案以及合同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厂内人数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厂内人数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=4个季度</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正常运转率</w:t>
            </w:r>
          </w:p>
        </w:tc>
        <w:tc>
          <w:tcPr>
            <w:tcW w:w="3402"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正常运转率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合同发票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2"/>
                <w:sz w:val="21"/>
                <w:szCs w:val="22"/>
                <w:lang w:val="en-US" w:eastAsia="zh-CN" w:bidi="ar-SA"/>
              </w:rPr>
            </w:pPr>
            <w:r>
              <w:rPr>
                <w:rFonts w:hint="eastAsia" w:ascii="宋体" w:hAnsi="宋体" w:eastAsia="宋体" w:cs="宋体"/>
                <w:i w:val="0"/>
                <w:color w:val="000000"/>
                <w:kern w:val="0"/>
                <w:sz w:val="18"/>
                <w:szCs w:val="18"/>
                <w:u w:val="none"/>
                <w:lang w:val="en-US" w:eastAsia="zh-CN" w:bidi="ar"/>
              </w:rPr>
              <w:t>服务对象满意度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接受基本供服务的满意程度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2"/>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设备运行单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p>
        </w:tc>
        <w:tc>
          <w:tcPr>
            <w:tcW w:w="1985" w:type="dxa"/>
            <w:shd w:val="clear" w:color="auto" w:fill="auto"/>
            <w:vAlign w:val="center"/>
          </w:tcPr>
          <w:p>
            <w:pP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人员满意度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人员满意度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调查率</w:t>
            </w:r>
          </w:p>
        </w:tc>
      </w:tr>
    </w:tbl>
    <w:p>
      <w:pPr>
        <w:numPr>
          <w:ilvl w:val="0"/>
          <w:numId w:val="7"/>
        </w:numPr>
        <w:autoSpaceDE w:val="0"/>
        <w:autoSpaceDN w:val="0"/>
        <w:adjustRightInd w:val="0"/>
        <w:ind w:firstLine="640"/>
        <w:jc w:val="left"/>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绿化种植维护费绩效目标表</w:t>
      </w:r>
    </w:p>
    <w:p>
      <w:pPr>
        <w:numPr>
          <w:ilvl w:val="0"/>
          <w:numId w:val="0"/>
        </w:numPr>
        <w:autoSpaceDE w:val="0"/>
        <w:autoSpaceDN w:val="0"/>
        <w:adjustRightInd w:val="0"/>
        <w:jc w:val="left"/>
        <w:rPr>
          <w:rFonts w:hint="default" w:ascii="仿宋" w:hAnsi="仿宋" w:eastAsia="仿宋" w:cs="仿宋"/>
          <w:sz w:val="32"/>
          <w:szCs w:val="24"/>
          <w:lang w:val="en-US" w:eastAsia="zh-CN"/>
        </w:rPr>
      </w:pPr>
      <w:r>
        <w:rPr>
          <w:rFonts w:hint="eastAsia" w:ascii="仿宋" w:hAnsi="仿宋" w:eastAsia="仿宋" w:cs="仿宋"/>
          <w:sz w:val="32"/>
          <w:szCs w:val="24"/>
          <w:lang w:val="en-US" w:eastAsia="zh-CN"/>
        </w:rPr>
        <w:t xml:space="preserve">   </w:t>
      </w: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通过项目的开展实现按月花费生产成本，保障机器设备正常运行完成。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管护总面积</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维护绿化面积数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生产成本</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&gt;=5万元</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64号文件、合同、历史数据、实际需求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草原管护面积</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维护绿化面积数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厂内人数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29人</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64号文件、合同、历史数据、实际需求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人均林木管护面积</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管护总面积</w:t>
            </w:r>
          </w:p>
        </w:tc>
        <w:tc>
          <w:tcPr>
            <w:tcW w:w="3402"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正常运转率</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64号文件、合同、历史数据、实际需求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生态管护员选聘人口数</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工作人员数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64号文件、合同、历史数据、实际需求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带动社会资金投资比</w:t>
            </w:r>
          </w:p>
        </w:tc>
        <w:tc>
          <w:tcPr>
            <w:tcW w:w="1985"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2"/>
                <w:sz w:val="21"/>
                <w:szCs w:val="22"/>
                <w:lang w:val="en-US" w:eastAsia="zh-CN" w:bidi="ar-SA"/>
              </w:rPr>
            </w:pPr>
            <w:r>
              <w:rPr>
                <w:rFonts w:hint="eastAsia" w:ascii="宋体" w:hAnsi="宋体" w:eastAsia="宋体" w:cs="宋体"/>
                <w:i w:val="0"/>
                <w:color w:val="000000"/>
                <w:kern w:val="0"/>
                <w:sz w:val="18"/>
                <w:szCs w:val="18"/>
                <w:u w:val="none"/>
                <w:lang w:val="en-US" w:eastAsia="zh-CN" w:bidi="ar"/>
              </w:rPr>
              <w:t>带动社会资金投入</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接受基本供服务的满意程度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2"/>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64号文件、合同、历史数据、实际需求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1"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c>
          <w:tcPr>
            <w:tcW w:w="1843" w:type="dxa"/>
            <w:shd w:val="clear" w:color="auto" w:fill="auto"/>
            <w:vAlign w:val="center"/>
          </w:tcPr>
          <w:p>
            <w:pPr>
              <w:rPr>
                <w:rFonts w:hint="default" w:ascii="Times New Roman" w:hAnsi="Times New Roman" w:eastAsia="仿宋_GB2312" w:cs="Times New Roman"/>
                <w:lang w:val="en-US"/>
              </w:rPr>
            </w:pP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人员满意度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人员满意度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&gt;=90%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 xml:space="preserve">《大厂回族自治县2020年财政预算编制工作方案》的通知大政办 [2019] 64号文件、合同、历史数据、实际需求 </w:t>
            </w:r>
          </w:p>
        </w:tc>
      </w:tr>
    </w:tbl>
    <w:p>
      <w:pPr>
        <w:numPr>
          <w:ilvl w:val="0"/>
          <w:numId w:val="0"/>
        </w:numPr>
        <w:autoSpaceDE w:val="0"/>
        <w:autoSpaceDN w:val="0"/>
        <w:adjustRightInd w:val="0"/>
        <w:jc w:val="left"/>
        <w:rPr>
          <w:rFonts w:hint="default" w:ascii="仿宋" w:hAnsi="仿宋" w:eastAsia="仿宋" w:cs="仿宋"/>
          <w:sz w:val="32"/>
          <w:szCs w:val="24"/>
          <w:lang w:val="en-US" w:eastAsia="zh-CN"/>
        </w:rPr>
      </w:pPr>
    </w:p>
    <w:p>
      <w:pPr>
        <w:autoSpaceDE w:val="0"/>
        <w:autoSpaceDN w:val="0"/>
        <w:adjustRightInd w:val="0"/>
        <w:ind w:firstLine="640"/>
        <w:jc w:val="left"/>
        <w:rPr>
          <w:rFonts w:ascii="黑体" w:hAnsi="黑体" w:eastAsia="黑体" w:cs="Times New Roman"/>
          <w:sz w:val="32"/>
          <w:szCs w:val="32"/>
        </w:rPr>
      </w:pPr>
      <w:r>
        <w:rPr>
          <w:rFonts w:hint="eastAsia" w:ascii="黑体" w:hAnsi="黑体" w:eastAsia="黑体" w:cs="Times New Roman"/>
          <w:sz w:val="32"/>
          <w:szCs w:val="32"/>
        </w:rPr>
        <w:t>六、政府采购预算情况</w:t>
      </w:r>
      <w:bookmarkStart w:id="3" w:name="_Toc471398468"/>
    </w:p>
    <w:p>
      <w:pPr>
        <w:autoSpaceDE w:val="0"/>
        <w:autoSpaceDN w:val="0"/>
        <w:adjustRightInd w:val="0"/>
        <w:ind w:firstLine="640"/>
        <w:jc w:val="left"/>
        <w:rPr>
          <w:rFonts w:ascii="仿宋" w:hAnsi="仿宋" w:eastAsia="仿宋" w:cs="仿宋"/>
          <w:sz w:val="32"/>
          <w:szCs w:val="24"/>
        </w:rPr>
      </w:pPr>
      <w:r>
        <w:rPr>
          <w:rFonts w:hint="eastAsia" w:ascii="仿宋" w:hAnsi="仿宋" w:eastAsia="仿宋" w:cs="仿宋"/>
          <w:sz w:val="32"/>
          <w:szCs w:val="24"/>
          <w:lang w:val="en-US" w:eastAsia="zh-CN"/>
        </w:rPr>
        <w:t>2020</w:t>
      </w:r>
      <w:r>
        <w:rPr>
          <w:rFonts w:hint="eastAsia" w:ascii="仿宋" w:hAnsi="仿宋" w:eastAsia="仿宋" w:cs="仿宋"/>
          <w:sz w:val="32"/>
          <w:szCs w:val="24"/>
        </w:rPr>
        <w:t>年，我单位安排政府采购预算</w:t>
      </w:r>
      <w:r>
        <w:rPr>
          <w:rFonts w:hint="eastAsia" w:ascii="仿宋" w:hAnsi="仿宋" w:eastAsia="仿宋" w:cs="仿宋"/>
          <w:sz w:val="32"/>
          <w:szCs w:val="32"/>
          <w:lang w:val="en-US" w:eastAsia="zh-CN"/>
        </w:rPr>
        <w:t>0</w:t>
      </w:r>
      <w:r>
        <w:rPr>
          <w:rFonts w:hint="eastAsia" w:ascii="仿宋" w:hAnsi="仿宋" w:eastAsia="仿宋" w:cs="仿宋"/>
          <w:sz w:val="32"/>
          <w:szCs w:val="32"/>
        </w:rPr>
        <w:t>元，</w:t>
      </w:r>
      <w:r>
        <w:rPr>
          <w:rFonts w:hint="eastAsia" w:ascii="仿宋" w:hAnsi="仿宋" w:eastAsia="仿宋" w:cs="仿宋"/>
          <w:sz w:val="32"/>
          <w:szCs w:val="24"/>
        </w:rPr>
        <w:t>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3"/>
    </w:p>
    <w:tbl>
      <w:tblPr>
        <w:tblStyle w:val="7"/>
        <w:tblW w:w="144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hAnsi="Times New Roman" w:eastAsia="方正书宋_GBK" w:cs="Times New Roman"/>
                <w:b/>
                <w:szCs w:val="24"/>
              </w:rPr>
            </w:pPr>
            <w:r>
              <w:rPr>
                <w:rFonts w:hint="eastAsia" w:ascii="方正书宋_GBK" w:hAnsi="Times New Roman" w:eastAsia="方正书宋_GBK" w:cs="Times New Roman"/>
                <w:b/>
                <w:szCs w:val="24"/>
              </w:rPr>
              <w:t>廊坊市大厂回族自治县夏垫污水处理厂部门</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879" w:type="dxa"/>
            <w:vMerge w:val="continue"/>
            <w:shd w:val="clear" w:color="auto" w:fill="auto"/>
            <w:vAlign w:val="center"/>
          </w:tcPr>
          <w:p>
            <w:pPr>
              <w:spacing w:line="300" w:lineRule="exact"/>
              <w:jc w:val="left"/>
              <w:outlineLvl w:val="0"/>
              <w:rPr>
                <w:rFonts w:ascii="方正书宋_GBK" w:hAnsi="Times New Roman" w:eastAsia="方正书宋_GBK" w:cs="Times New Roman"/>
                <w:b/>
                <w:szCs w:val="24"/>
              </w:rPr>
            </w:pPr>
          </w:p>
        </w:tc>
        <w:tc>
          <w:tcPr>
            <w:tcW w:w="1398" w:type="dxa"/>
            <w:vMerge w:val="continue"/>
            <w:shd w:val="clear" w:color="auto" w:fill="auto"/>
            <w:vAlign w:val="center"/>
          </w:tcPr>
          <w:p>
            <w:pPr>
              <w:spacing w:line="300" w:lineRule="exact"/>
              <w:jc w:val="left"/>
              <w:outlineLvl w:val="0"/>
              <w:rPr>
                <w:rFonts w:ascii="方正书宋_GBK" w:hAnsi="Times New Roman" w:eastAsia="方正书宋_GBK" w:cs="Times New Roman"/>
                <w:b/>
                <w:szCs w:val="24"/>
              </w:rPr>
            </w:pPr>
          </w:p>
        </w:tc>
        <w:tc>
          <w:tcPr>
            <w:tcW w:w="879" w:type="dxa"/>
            <w:vMerge w:val="continue"/>
            <w:shd w:val="clear" w:color="auto" w:fill="auto"/>
            <w:vAlign w:val="center"/>
          </w:tcPr>
          <w:p>
            <w:pPr>
              <w:spacing w:line="300" w:lineRule="exact"/>
              <w:jc w:val="left"/>
              <w:outlineLvl w:val="0"/>
              <w:rPr>
                <w:rFonts w:ascii="方正书宋_GBK" w:hAnsi="Times New Roman" w:eastAsia="方正书宋_GBK" w:cs="Times New Roman"/>
                <w:b/>
                <w:szCs w:val="24"/>
              </w:rPr>
            </w:pPr>
          </w:p>
        </w:tc>
        <w:tc>
          <w:tcPr>
            <w:tcW w:w="879" w:type="dxa"/>
            <w:vMerge w:val="continue"/>
            <w:shd w:val="clear" w:color="auto" w:fill="auto"/>
            <w:vAlign w:val="center"/>
          </w:tcPr>
          <w:p>
            <w:pPr>
              <w:spacing w:line="300" w:lineRule="exact"/>
              <w:jc w:val="left"/>
              <w:outlineLvl w:val="0"/>
              <w:rPr>
                <w:rFonts w:ascii="方正书宋_GBK" w:hAnsi="Times New Roman" w:eastAsia="方正书宋_GBK" w:cs="Times New Roman"/>
                <w:b/>
                <w:szCs w:val="24"/>
              </w:rPr>
            </w:pPr>
          </w:p>
        </w:tc>
        <w:tc>
          <w:tcPr>
            <w:tcW w:w="902" w:type="dxa"/>
            <w:vMerge w:val="continue"/>
            <w:shd w:val="clear" w:color="auto" w:fill="auto"/>
            <w:vAlign w:val="center"/>
          </w:tcPr>
          <w:p>
            <w:pPr>
              <w:spacing w:line="300" w:lineRule="exact"/>
              <w:jc w:val="left"/>
              <w:outlineLvl w:val="0"/>
              <w:rPr>
                <w:rFonts w:ascii="方正书宋_GBK" w:hAnsi="Times New Roman" w:eastAsia="方正书宋_GBK" w:cs="Times New Roman"/>
                <w:b/>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center"/>
              <w:rPr>
                <w:rFonts w:ascii="方正书宋_GBK" w:hAnsi="Times New Roman" w:eastAsia="方正书宋_GBK" w:cs="Times New Roman"/>
                <w:b/>
                <w:szCs w:val="24"/>
              </w:rPr>
            </w:pPr>
          </w:p>
        </w:tc>
        <w:tc>
          <w:tcPr>
            <w:tcW w:w="1066" w:type="dxa"/>
            <w:vMerge w:val="continue"/>
            <w:shd w:val="clear" w:color="auto" w:fill="auto"/>
            <w:vAlign w:val="center"/>
          </w:tcPr>
          <w:p>
            <w:pPr>
              <w:spacing w:line="300" w:lineRule="exact"/>
              <w:jc w:val="center"/>
              <w:rPr>
                <w:rFonts w:ascii="方正书宋_GBK" w:hAnsi="Times New Roman" w:eastAsia="方正书宋_GBK" w:cs="Times New Roman"/>
                <w:b/>
                <w:szCs w:val="24"/>
              </w:rPr>
            </w:pPr>
          </w:p>
        </w:tc>
        <w:tc>
          <w:tcPr>
            <w:tcW w:w="879" w:type="dxa"/>
            <w:vMerge w:val="continue"/>
            <w:shd w:val="clear" w:color="auto" w:fill="auto"/>
            <w:vAlign w:val="center"/>
          </w:tcPr>
          <w:p>
            <w:pPr>
              <w:spacing w:line="300" w:lineRule="exact"/>
              <w:jc w:val="center"/>
              <w:rPr>
                <w:rFonts w:ascii="方正书宋_GBK" w:hAnsi="Times New Roman" w:eastAsia="方正书宋_GBK" w:cs="Times New Roman"/>
                <w:b/>
                <w:szCs w:val="24"/>
              </w:rPr>
            </w:pPr>
          </w:p>
        </w:tc>
        <w:tc>
          <w:tcPr>
            <w:tcW w:w="1398" w:type="dxa"/>
            <w:vMerge w:val="continue"/>
            <w:shd w:val="clear" w:color="auto" w:fill="auto"/>
            <w:vAlign w:val="center"/>
          </w:tcPr>
          <w:p>
            <w:pPr>
              <w:spacing w:line="300" w:lineRule="exact"/>
              <w:jc w:val="center"/>
              <w:rPr>
                <w:rFonts w:ascii="方正书宋_GBK" w:hAnsi="Times New Roman" w:eastAsia="方正书宋_GBK" w:cs="Times New Roman"/>
                <w:b/>
                <w:szCs w:val="24"/>
              </w:rPr>
            </w:pPr>
          </w:p>
        </w:tc>
        <w:tc>
          <w:tcPr>
            <w:tcW w:w="879" w:type="dxa"/>
            <w:vMerge w:val="continue"/>
            <w:shd w:val="clear" w:color="auto" w:fill="auto"/>
            <w:vAlign w:val="center"/>
          </w:tcPr>
          <w:p>
            <w:pPr>
              <w:spacing w:line="300" w:lineRule="exact"/>
              <w:jc w:val="center"/>
              <w:rPr>
                <w:rFonts w:ascii="方正书宋_GBK" w:hAnsi="Times New Roman" w:eastAsia="方正书宋_GBK" w:cs="Times New Roman"/>
                <w:b/>
                <w:szCs w:val="24"/>
              </w:rPr>
            </w:pPr>
          </w:p>
        </w:tc>
        <w:tc>
          <w:tcPr>
            <w:tcW w:w="879" w:type="dxa"/>
            <w:vMerge w:val="continue"/>
            <w:shd w:val="clear" w:color="auto" w:fill="auto"/>
            <w:vAlign w:val="center"/>
          </w:tcPr>
          <w:p>
            <w:pPr>
              <w:spacing w:line="300" w:lineRule="exact"/>
              <w:jc w:val="center"/>
              <w:rPr>
                <w:rFonts w:ascii="方正书宋_GBK" w:hAnsi="Times New Roman" w:eastAsia="方正书宋_GBK" w:cs="Times New Roman"/>
                <w:b/>
                <w:szCs w:val="24"/>
              </w:rPr>
            </w:pPr>
          </w:p>
        </w:tc>
        <w:tc>
          <w:tcPr>
            <w:tcW w:w="902" w:type="dxa"/>
            <w:vMerge w:val="continue"/>
            <w:shd w:val="clear" w:color="auto" w:fill="auto"/>
            <w:vAlign w:val="center"/>
          </w:tcPr>
          <w:p>
            <w:pPr>
              <w:spacing w:line="300" w:lineRule="exact"/>
              <w:jc w:val="center"/>
              <w:rPr>
                <w:rFonts w:ascii="方正书宋_GBK" w:hAnsi="Times New Roman" w:eastAsia="方正书宋_GBK" w:cs="Times New Roman"/>
                <w:b/>
                <w:szCs w:val="24"/>
              </w:rPr>
            </w:pPr>
          </w:p>
        </w:tc>
        <w:tc>
          <w:tcPr>
            <w:tcW w:w="89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9"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899"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66"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9" w:type="dxa"/>
            <w:shd w:val="clear" w:color="auto" w:fill="auto"/>
            <w:vAlign w:val="center"/>
          </w:tcPr>
          <w:p>
            <w:pPr>
              <w:spacing w:line="300" w:lineRule="exact"/>
              <w:jc w:val="left"/>
              <w:rPr>
                <w:rFonts w:ascii="方正书宋_GBK" w:hAnsi="Times New Roman" w:eastAsia="方正书宋_GBK" w:cs="Times New Roman"/>
                <w:b/>
                <w:szCs w:val="24"/>
              </w:rPr>
            </w:pPr>
          </w:p>
        </w:tc>
        <w:tc>
          <w:tcPr>
            <w:tcW w:w="1398"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9"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9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9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9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1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26"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2391"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1066"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9" w:type="dxa"/>
            <w:shd w:val="clear" w:color="auto" w:fill="auto"/>
            <w:vAlign w:val="center"/>
          </w:tcPr>
          <w:p>
            <w:pPr>
              <w:spacing w:line="300" w:lineRule="exact"/>
              <w:rPr>
                <w:rFonts w:ascii="方正书宋_GBK" w:hAnsi="Times New Roman" w:eastAsia="方正书宋_GBK" w:cs="Times New Roman"/>
                <w:b/>
                <w:szCs w:val="24"/>
              </w:rPr>
            </w:pPr>
            <w:r>
              <w:rPr>
                <w:rFonts w:ascii="方正书宋_GBK" w:hAnsi="Times New Roman" w:eastAsia="方正书宋_GBK" w:cs="Times New Roman"/>
                <w:b/>
                <w:szCs w:val="24"/>
              </w:rPr>
              <w:t> </w:t>
            </w:r>
          </w:p>
        </w:tc>
        <w:tc>
          <w:tcPr>
            <w:tcW w:w="1398"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9"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9"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902"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99"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99"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99"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18"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81"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81"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26"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autoSpaceDE w:val="0"/>
        <w:autoSpaceDN w:val="0"/>
        <w:adjustRightInd w:val="0"/>
        <w:jc w:val="left"/>
        <w:rPr>
          <w:rFonts w:ascii="黑体" w:hAnsi="黑体" w:eastAsia="黑体"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廊坊市大厂回族自治县夏垫污水处理厂上年末固定资产金额为52.493万元，本年度拟购置固定资产主要为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维修设备购置</w:t>
      </w:r>
      <w:r>
        <w:rPr>
          <w:rFonts w:hint="eastAsia" w:ascii="仿宋_GB2312" w:hAnsi="仿宋_GB2312" w:eastAsia="仿宋_GB2312" w:cs="仿宋_GB2312"/>
          <w:sz w:val="32"/>
          <w:szCs w:val="32"/>
        </w:rPr>
        <w:t>。详见下表。</w:t>
      </w:r>
    </w:p>
    <w:tbl>
      <w:tblPr>
        <w:tblStyle w:val="7"/>
        <w:tblW w:w="13437" w:type="dxa"/>
        <w:tblInd w:w="93" w:type="dxa"/>
        <w:tblLayout w:type="fixed"/>
        <w:tblCellMar>
          <w:top w:w="0" w:type="dxa"/>
          <w:left w:w="108" w:type="dxa"/>
          <w:bottom w:w="0" w:type="dxa"/>
          <w:right w:w="108" w:type="dxa"/>
        </w:tblCellMar>
      </w:tblPr>
      <w:tblGrid>
        <w:gridCol w:w="5207"/>
        <w:gridCol w:w="3144"/>
        <w:gridCol w:w="5086"/>
      </w:tblGrid>
      <w:tr>
        <w:tblPrEx>
          <w:tblCellMar>
            <w:top w:w="0" w:type="dxa"/>
            <w:left w:w="108" w:type="dxa"/>
            <w:bottom w:w="0" w:type="dxa"/>
            <w:right w:w="108" w:type="dxa"/>
          </w:tblCellMar>
        </w:tblPrEx>
        <w:trPr>
          <w:trHeight w:val="544" w:hRule="atLeast"/>
        </w:trPr>
        <w:tc>
          <w:tcPr>
            <w:tcW w:w="13437" w:type="dxa"/>
            <w:gridSpan w:val="3"/>
            <w:tcBorders>
              <w:top w:val="nil"/>
              <w:left w:val="nil"/>
              <w:bottom w:val="nil"/>
              <w:right w:val="nil"/>
            </w:tcBorders>
            <w:vAlign w:val="center"/>
          </w:tcPr>
          <w:p>
            <w:pPr>
              <w:widowControl/>
              <w:jc w:val="center"/>
              <w:rPr>
                <w:rFonts w:ascii="仿宋" w:hAnsi="仿宋" w:eastAsia="仿宋" w:cs="宋体"/>
                <w:b/>
                <w:bCs/>
                <w:kern w:val="0"/>
                <w:sz w:val="32"/>
                <w:szCs w:val="32"/>
              </w:rPr>
            </w:pPr>
          </w:p>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廊坊市大厂回族自治县夏垫污水处理厂固定资产占用情况表</w:t>
            </w:r>
          </w:p>
        </w:tc>
      </w:tr>
      <w:tr>
        <w:tblPrEx>
          <w:tblCellMar>
            <w:top w:w="0" w:type="dxa"/>
            <w:left w:w="108" w:type="dxa"/>
            <w:bottom w:w="0" w:type="dxa"/>
            <w:right w:w="108" w:type="dxa"/>
          </w:tblCellMar>
        </w:tblPrEx>
        <w:trPr>
          <w:trHeight w:val="394" w:hRule="atLeast"/>
        </w:trPr>
        <w:tc>
          <w:tcPr>
            <w:tcW w:w="8351" w:type="dxa"/>
            <w:gridSpan w:val="2"/>
            <w:tcBorders>
              <w:top w:val="nil"/>
              <w:left w:val="nil"/>
              <w:bottom w:val="nil"/>
              <w:right w:val="nil"/>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编制部门：</w:t>
            </w:r>
            <w:r>
              <w:rPr>
                <w:rFonts w:hint="eastAsia" w:ascii="仿宋" w:hAnsi="仿宋" w:eastAsia="仿宋" w:cs="宋体"/>
                <w:bCs/>
                <w:kern w:val="0"/>
                <w:sz w:val="32"/>
                <w:szCs w:val="32"/>
              </w:rPr>
              <w:t>廊坊市大厂回族自治县夏垫污水处理厂部门</w:t>
            </w:r>
            <w:r>
              <w:rPr>
                <w:rFonts w:ascii="仿宋" w:hAnsi="仿宋" w:eastAsia="仿宋" w:cs="宋体"/>
                <w:kern w:val="0"/>
                <w:sz w:val="32"/>
                <w:szCs w:val="32"/>
              </w:rPr>
              <w:t xml:space="preserve"> </w:t>
            </w:r>
          </w:p>
        </w:tc>
        <w:tc>
          <w:tcPr>
            <w:tcW w:w="5086" w:type="dxa"/>
            <w:tcBorders>
              <w:top w:val="nil"/>
              <w:left w:val="nil"/>
              <w:bottom w:val="nil"/>
              <w:right w:val="nil"/>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截止时间：</w:t>
            </w:r>
            <w:r>
              <w:rPr>
                <w:rFonts w:hint="eastAsia" w:ascii="仿宋" w:hAnsi="仿宋" w:eastAsia="仿宋" w:cs="宋体"/>
                <w:kern w:val="0"/>
                <w:sz w:val="32"/>
                <w:szCs w:val="32"/>
                <w:lang w:val="en-US" w:eastAsia="zh-CN"/>
              </w:rPr>
              <w:t>2019</w:t>
            </w:r>
            <w:bookmarkStart w:id="4" w:name="_GoBack"/>
            <w:bookmarkEnd w:id="4"/>
            <w:r>
              <w:rPr>
                <w:rFonts w:hint="eastAsia" w:ascii="仿宋" w:hAnsi="仿宋" w:eastAsia="仿宋" w:cs="宋体"/>
                <w:kern w:val="0"/>
                <w:sz w:val="32"/>
                <w:szCs w:val="32"/>
              </w:rPr>
              <w:t xml:space="preserve">年12月31日  </w:t>
            </w:r>
          </w:p>
        </w:tc>
      </w:tr>
      <w:tr>
        <w:tblPrEx>
          <w:tblCellMar>
            <w:top w:w="0" w:type="dxa"/>
            <w:left w:w="108" w:type="dxa"/>
            <w:bottom w:w="0" w:type="dxa"/>
            <w:right w:w="108" w:type="dxa"/>
          </w:tblCellMar>
        </w:tblPrEx>
        <w:trPr>
          <w:trHeight w:val="498" w:hRule="atLeast"/>
        </w:trPr>
        <w:tc>
          <w:tcPr>
            <w:tcW w:w="52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项   目</w:t>
            </w:r>
          </w:p>
        </w:tc>
        <w:tc>
          <w:tcPr>
            <w:tcW w:w="31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数量</w:t>
            </w:r>
          </w:p>
        </w:tc>
        <w:tc>
          <w:tcPr>
            <w:tcW w:w="50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价值（金额单位：万元）</w:t>
            </w:r>
          </w:p>
        </w:tc>
      </w:tr>
      <w:tr>
        <w:tblPrEx>
          <w:tblCellMar>
            <w:top w:w="0" w:type="dxa"/>
            <w:left w:w="108" w:type="dxa"/>
            <w:bottom w:w="0" w:type="dxa"/>
            <w:right w:w="108" w:type="dxa"/>
          </w:tblCellMar>
        </w:tblPrEx>
        <w:trPr>
          <w:trHeight w:val="498" w:hRule="atLeast"/>
        </w:trPr>
        <w:tc>
          <w:tcPr>
            <w:tcW w:w="520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资产总额</w:t>
            </w:r>
          </w:p>
        </w:tc>
        <w:tc>
          <w:tcPr>
            <w:tcW w:w="31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w:t>
            </w:r>
          </w:p>
        </w:tc>
        <w:tc>
          <w:tcPr>
            <w:tcW w:w="5086"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60.7418</w:t>
            </w:r>
          </w:p>
        </w:tc>
      </w:tr>
      <w:tr>
        <w:tblPrEx>
          <w:tblCellMar>
            <w:top w:w="0" w:type="dxa"/>
            <w:left w:w="108" w:type="dxa"/>
            <w:bottom w:w="0" w:type="dxa"/>
            <w:right w:w="108" w:type="dxa"/>
          </w:tblCellMar>
        </w:tblPrEx>
        <w:trPr>
          <w:trHeight w:val="498" w:hRule="atLeast"/>
        </w:trPr>
        <w:tc>
          <w:tcPr>
            <w:tcW w:w="520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1、房屋（平方米）</w:t>
            </w:r>
          </w:p>
        </w:tc>
        <w:tc>
          <w:tcPr>
            <w:tcW w:w="31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508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CellMar>
            <w:top w:w="0" w:type="dxa"/>
            <w:left w:w="108" w:type="dxa"/>
            <w:bottom w:w="0" w:type="dxa"/>
            <w:right w:w="108" w:type="dxa"/>
          </w:tblCellMar>
        </w:tblPrEx>
        <w:trPr>
          <w:trHeight w:val="498" w:hRule="atLeast"/>
        </w:trPr>
        <w:tc>
          <w:tcPr>
            <w:tcW w:w="520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 xml:space="preserve">   其中：办公用房（平方米）</w:t>
            </w:r>
          </w:p>
        </w:tc>
        <w:tc>
          <w:tcPr>
            <w:tcW w:w="31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508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CellMar>
            <w:top w:w="0" w:type="dxa"/>
            <w:left w:w="108" w:type="dxa"/>
            <w:bottom w:w="0" w:type="dxa"/>
            <w:right w:w="108" w:type="dxa"/>
          </w:tblCellMar>
        </w:tblPrEx>
        <w:trPr>
          <w:trHeight w:val="498" w:hRule="atLeast"/>
        </w:trPr>
        <w:tc>
          <w:tcPr>
            <w:tcW w:w="520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2、车辆（台、辆）</w:t>
            </w:r>
          </w:p>
        </w:tc>
        <w:tc>
          <w:tcPr>
            <w:tcW w:w="31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5086" w:type="dxa"/>
            <w:tcBorders>
              <w:top w:val="nil"/>
              <w:left w:val="nil"/>
              <w:bottom w:val="single" w:color="auto" w:sz="4" w:space="0"/>
              <w:right w:val="single" w:color="auto" w:sz="4" w:space="0"/>
            </w:tcBorders>
            <w:vAlign w:val="center"/>
          </w:tcPr>
          <w:p>
            <w:pPr>
              <w:pStyle w:val="2"/>
              <w:rPr>
                <w:kern w:val="0"/>
              </w:rPr>
            </w:pPr>
          </w:p>
        </w:tc>
      </w:tr>
      <w:tr>
        <w:tblPrEx>
          <w:tblCellMar>
            <w:top w:w="0" w:type="dxa"/>
            <w:left w:w="108" w:type="dxa"/>
            <w:bottom w:w="0" w:type="dxa"/>
            <w:right w:w="108" w:type="dxa"/>
          </w:tblCellMar>
        </w:tblPrEx>
        <w:trPr>
          <w:trHeight w:val="498" w:hRule="atLeast"/>
        </w:trPr>
        <w:tc>
          <w:tcPr>
            <w:tcW w:w="520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3、单价在20万元以上的设备</w:t>
            </w:r>
          </w:p>
        </w:tc>
        <w:tc>
          <w:tcPr>
            <w:tcW w:w="31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508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CellMar>
            <w:top w:w="0" w:type="dxa"/>
            <w:left w:w="108" w:type="dxa"/>
            <w:bottom w:w="0" w:type="dxa"/>
            <w:right w:w="108" w:type="dxa"/>
          </w:tblCellMar>
        </w:tblPrEx>
        <w:trPr>
          <w:trHeight w:val="498" w:hRule="atLeast"/>
        </w:trPr>
        <w:tc>
          <w:tcPr>
            <w:tcW w:w="520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4、其他固定资产</w:t>
            </w:r>
          </w:p>
        </w:tc>
        <w:tc>
          <w:tcPr>
            <w:tcW w:w="3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60.7418</w:t>
            </w:r>
          </w:p>
        </w:tc>
        <w:tc>
          <w:tcPr>
            <w:tcW w:w="5086"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60.7418</w:t>
            </w:r>
          </w:p>
        </w:tc>
      </w:tr>
    </w:tbl>
    <w:p>
      <w:pPr>
        <w:autoSpaceDE w:val="0"/>
        <w:autoSpaceDN w:val="0"/>
        <w:adjustRightInd w:val="0"/>
        <w:jc w:val="left"/>
        <w:rPr>
          <w:rFonts w:ascii="黑体" w:hAnsi="黑体" w:eastAsia="黑体"/>
          <w:sz w:val="32"/>
          <w:szCs w:val="32"/>
        </w:rPr>
      </w:pPr>
    </w:p>
    <w:p>
      <w:pPr>
        <w:autoSpaceDE w:val="0"/>
        <w:autoSpaceDN w:val="0"/>
        <w:adjustRightInd w:val="0"/>
        <w:ind w:firstLine="640"/>
        <w:jc w:val="left"/>
        <w:rPr>
          <w:rFonts w:ascii="黑体" w:hAnsi="黑体" w:eastAsia="黑体" w:cs="Times New Roman"/>
          <w:sz w:val="32"/>
          <w:szCs w:val="32"/>
        </w:rPr>
      </w:pPr>
      <w:r>
        <w:rPr>
          <w:rFonts w:hint="eastAsia" w:ascii="黑体" w:hAnsi="黑体" w:eastAsia="黑体" w:cs="Times New Roman"/>
          <w:sz w:val="32"/>
          <w:szCs w:val="32"/>
        </w:rPr>
        <w:t>八、名词解释</w:t>
      </w:r>
    </w:p>
    <w:p>
      <w:pPr>
        <w:ind w:firstLine="964" w:firstLineChars="300"/>
        <w:rPr>
          <w:rFonts w:ascii="仿宋" w:hAnsi="仿宋" w:eastAsia="仿宋" w:cs="宋体"/>
          <w:color w:val="484747"/>
          <w:kern w:val="0"/>
          <w:sz w:val="32"/>
          <w:szCs w:val="32"/>
        </w:rPr>
      </w:pPr>
      <w:r>
        <w:rPr>
          <w:rFonts w:hint="eastAsia" w:ascii="楷体" w:hAnsi="楷体" w:eastAsia="楷体" w:cs="楷体"/>
          <w:b/>
          <w:bCs/>
          <w:kern w:val="0"/>
          <w:sz w:val="32"/>
          <w:szCs w:val="32"/>
        </w:rPr>
        <w:t>1、一般公共预算拨款收入</w:t>
      </w:r>
      <w:r>
        <w:rPr>
          <w:rFonts w:hint="eastAsia" w:ascii="黑体" w:hAnsi="黑体" w:eastAsia="黑体"/>
          <w:sz w:val="32"/>
          <w:szCs w:val="32"/>
        </w:rPr>
        <w:t>：</w:t>
      </w:r>
      <w:r>
        <w:rPr>
          <w:rFonts w:hint="eastAsia" w:ascii="仿宋_GB2312" w:hAnsi="仿宋_GB2312" w:eastAsia="仿宋_GB2312" w:cs="仿宋_GB2312"/>
          <w:color w:val="484747"/>
          <w:kern w:val="0"/>
          <w:sz w:val="32"/>
          <w:szCs w:val="32"/>
        </w:rPr>
        <w:t>指县级财政当年拨付的资金。</w:t>
      </w:r>
    </w:p>
    <w:p>
      <w:pPr>
        <w:rPr>
          <w:rFonts w:ascii="仿宋" w:hAnsi="仿宋" w:eastAsia="仿宋" w:cs="宋体"/>
          <w:color w:val="484747"/>
          <w:kern w:val="0"/>
          <w:sz w:val="32"/>
          <w:szCs w:val="32"/>
        </w:rPr>
      </w:pPr>
      <w:r>
        <w:rPr>
          <w:rFonts w:hint="eastAsia" w:ascii="仿宋" w:hAnsi="仿宋" w:eastAsia="仿宋" w:cs="宋体"/>
          <w:color w:val="484747"/>
          <w:kern w:val="0"/>
          <w:sz w:val="32"/>
          <w:szCs w:val="32"/>
        </w:rPr>
        <w:t xml:space="preserve">      </w:t>
      </w:r>
      <w:r>
        <w:rPr>
          <w:rFonts w:hint="eastAsia" w:ascii="楷体" w:hAnsi="楷体" w:eastAsia="楷体" w:cs="楷体"/>
          <w:b/>
          <w:bCs/>
          <w:kern w:val="0"/>
          <w:sz w:val="32"/>
          <w:szCs w:val="32"/>
        </w:rPr>
        <w:t>2</w:t>
      </w:r>
      <w:r>
        <w:rPr>
          <w:rFonts w:hint="eastAsia" w:ascii="黑体" w:hAnsi="黑体" w:eastAsia="黑体"/>
          <w:sz w:val="32"/>
          <w:szCs w:val="32"/>
        </w:rPr>
        <w:t>、</w:t>
      </w:r>
      <w:r>
        <w:rPr>
          <w:rFonts w:hint="eastAsia" w:ascii="楷体" w:hAnsi="楷体" w:eastAsia="楷体" w:cs="楷体"/>
          <w:b/>
          <w:bCs/>
          <w:kern w:val="0"/>
          <w:sz w:val="32"/>
          <w:szCs w:val="32"/>
        </w:rPr>
        <w:t>事业收入</w:t>
      </w:r>
      <w:r>
        <w:rPr>
          <w:rFonts w:hint="eastAsia" w:ascii="黑体" w:hAnsi="黑体" w:eastAsia="黑体"/>
          <w:sz w:val="32"/>
          <w:szCs w:val="32"/>
        </w:rPr>
        <w:t>：</w:t>
      </w:r>
      <w:r>
        <w:rPr>
          <w:rFonts w:hint="eastAsia" w:ascii="仿宋_GB2312" w:hAnsi="仿宋_GB2312" w:eastAsia="仿宋_GB2312" w:cs="仿宋_GB2312"/>
          <w:color w:val="484747"/>
          <w:kern w:val="0"/>
          <w:sz w:val="32"/>
          <w:szCs w:val="32"/>
        </w:rPr>
        <w:t>指事业单位开展专业业务活动及辅助活动所取得的收入。</w:t>
      </w:r>
    </w:p>
    <w:p>
      <w:pPr>
        <w:ind w:left="320" w:hanging="320" w:hangingChars="100"/>
        <w:rPr>
          <w:rFonts w:ascii="黑体" w:hAnsi="黑体" w:eastAsia="黑体"/>
          <w:sz w:val="32"/>
          <w:szCs w:val="32"/>
        </w:rPr>
      </w:pPr>
      <w:r>
        <w:rPr>
          <w:rFonts w:hint="eastAsia" w:ascii="黑体" w:hAnsi="黑体" w:eastAsia="黑体"/>
          <w:sz w:val="32"/>
          <w:szCs w:val="32"/>
        </w:rPr>
        <w:t xml:space="preserve">      </w:t>
      </w:r>
      <w:r>
        <w:rPr>
          <w:rFonts w:hint="eastAsia" w:ascii="楷体" w:hAnsi="楷体" w:eastAsia="楷体" w:cs="楷体"/>
          <w:b/>
          <w:bCs/>
          <w:kern w:val="0"/>
          <w:sz w:val="32"/>
          <w:szCs w:val="32"/>
        </w:rPr>
        <w:t>3、其他收入：</w:t>
      </w:r>
      <w:r>
        <w:rPr>
          <w:rFonts w:hint="eastAsia" w:ascii="仿宋_GB2312" w:hAnsi="仿宋_GB2312" w:eastAsia="仿宋_GB2312" w:cs="仿宋_GB2312"/>
          <w:color w:val="484747"/>
          <w:kern w:val="0"/>
          <w:sz w:val="32"/>
          <w:szCs w:val="32"/>
        </w:rPr>
        <w:t>指除上述“财政拨款收入”、“事业收入”等以外的收入。主要是按规定动用的租房收入、存款利息收入等。</w:t>
      </w:r>
    </w:p>
    <w:p>
      <w:pPr>
        <w:rPr>
          <w:rFonts w:ascii="仿宋" w:hAnsi="仿宋" w:eastAsia="仿宋" w:cs="宋体"/>
          <w:color w:val="484747"/>
          <w:kern w:val="0"/>
          <w:sz w:val="32"/>
          <w:szCs w:val="32"/>
        </w:rPr>
      </w:pPr>
      <w:r>
        <w:rPr>
          <w:rFonts w:hint="eastAsia" w:ascii="黑体" w:hAnsi="黑体" w:eastAsia="黑体"/>
          <w:sz w:val="32"/>
          <w:szCs w:val="32"/>
        </w:rPr>
        <w:t xml:space="preserve">      </w:t>
      </w:r>
      <w:r>
        <w:rPr>
          <w:rFonts w:hint="eastAsia" w:ascii="楷体" w:hAnsi="楷体" w:eastAsia="楷体" w:cs="楷体"/>
          <w:b/>
          <w:bCs/>
          <w:kern w:val="0"/>
          <w:sz w:val="32"/>
          <w:szCs w:val="32"/>
        </w:rPr>
        <w:t>4、基本支出</w:t>
      </w:r>
      <w:r>
        <w:rPr>
          <w:rFonts w:hint="eastAsia" w:ascii="黑体" w:hAnsi="黑体" w:eastAsia="黑体"/>
          <w:sz w:val="32"/>
          <w:szCs w:val="32"/>
        </w:rPr>
        <w:t>：</w:t>
      </w:r>
      <w:r>
        <w:rPr>
          <w:rFonts w:hint="eastAsia" w:ascii="仿宋_GB2312" w:hAnsi="仿宋_GB2312" w:eastAsia="仿宋_GB2312" w:cs="仿宋_GB2312"/>
          <w:color w:val="484747"/>
          <w:kern w:val="0"/>
          <w:sz w:val="32"/>
          <w:szCs w:val="32"/>
        </w:rPr>
        <w:t>指为保障机构正常运转、完成日常工作任务而发生的人员支出和公用支出。</w:t>
      </w:r>
    </w:p>
    <w:p>
      <w:pPr>
        <w:rPr>
          <w:rFonts w:hint="eastAsia" w:ascii="仿宋_GB2312" w:hAnsi="仿宋_GB2312" w:eastAsia="仿宋_GB2312" w:cs="仿宋_GB2312"/>
          <w:color w:val="484747"/>
          <w:kern w:val="0"/>
          <w:sz w:val="32"/>
          <w:szCs w:val="32"/>
        </w:rPr>
      </w:pPr>
      <w:r>
        <w:rPr>
          <w:rFonts w:hint="eastAsia" w:ascii="黑体" w:hAnsi="黑体" w:eastAsia="黑体"/>
          <w:sz w:val="32"/>
          <w:szCs w:val="32"/>
        </w:rPr>
        <w:t xml:space="preserve">      </w:t>
      </w:r>
      <w:r>
        <w:rPr>
          <w:rFonts w:hint="eastAsia" w:ascii="楷体" w:hAnsi="楷体" w:eastAsia="楷体" w:cs="楷体"/>
          <w:b/>
          <w:bCs/>
          <w:kern w:val="0"/>
          <w:sz w:val="32"/>
          <w:szCs w:val="32"/>
        </w:rPr>
        <w:t>5、项目支出</w:t>
      </w:r>
      <w:r>
        <w:rPr>
          <w:rFonts w:hint="eastAsia" w:ascii="黑体" w:hAnsi="黑体" w:eastAsia="黑体"/>
          <w:sz w:val="32"/>
          <w:szCs w:val="32"/>
        </w:rPr>
        <w:t>：</w:t>
      </w:r>
      <w:r>
        <w:rPr>
          <w:rFonts w:hint="eastAsia" w:ascii="仿宋_GB2312" w:hAnsi="仿宋_GB2312" w:eastAsia="仿宋_GB2312" w:cs="仿宋_GB2312"/>
          <w:color w:val="484747"/>
          <w:kern w:val="0"/>
          <w:sz w:val="32"/>
          <w:szCs w:val="32"/>
        </w:rPr>
        <w:t>指在基本支出之外为完成特定行政任务和事业发展目标所发生的支出。</w:t>
      </w:r>
    </w:p>
    <w:p>
      <w:pPr>
        <w:rPr>
          <w:rFonts w:ascii="仿宋" w:hAnsi="仿宋" w:eastAsia="仿宋" w:cs="宋体"/>
          <w:color w:val="484747"/>
          <w:kern w:val="0"/>
          <w:sz w:val="32"/>
          <w:szCs w:val="32"/>
        </w:rPr>
      </w:pPr>
      <w:r>
        <w:rPr>
          <w:rFonts w:hint="eastAsia" w:ascii="黑体" w:hAnsi="黑体" w:eastAsia="黑体"/>
          <w:sz w:val="32"/>
          <w:szCs w:val="32"/>
        </w:rPr>
        <w:t xml:space="preserve">      </w:t>
      </w:r>
      <w:r>
        <w:rPr>
          <w:rFonts w:hint="eastAsia" w:ascii="楷体" w:hAnsi="楷体" w:eastAsia="楷体" w:cs="楷体"/>
          <w:b/>
          <w:bCs/>
          <w:kern w:val="0"/>
          <w:sz w:val="32"/>
          <w:szCs w:val="32"/>
        </w:rPr>
        <w:t>6、上缴上级支出</w:t>
      </w:r>
      <w:r>
        <w:rPr>
          <w:rFonts w:hint="eastAsia" w:ascii="黑体" w:hAnsi="黑体" w:eastAsia="黑体"/>
          <w:sz w:val="32"/>
          <w:szCs w:val="32"/>
        </w:rPr>
        <w:t>：</w:t>
      </w:r>
      <w:r>
        <w:rPr>
          <w:rFonts w:hint="eastAsia" w:ascii="仿宋_GB2312" w:hAnsi="仿宋_GB2312" w:eastAsia="仿宋_GB2312" w:cs="仿宋_GB2312"/>
          <w:color w:val="484747"/>
          <w:kern w:val="0"/>
          <w:sz w:val="32"/>
          <w:szCs w:val="32"/>
        </w:rPr>
        <w:t>指下级单位上缴上级的支出。</w:t>
      </w:r>
    </w:p>
    <w:p>
      <w:pPr>
        <w:ind w:left="319" w:leftChars="152" w:firstLine="643" w:firstLineChars="200"/>
        <w:rPr>
          <w:rFonts w:ascii="黑体" w:hAnsi="黑体" w:eastAsia="黑体"/>
          <w:sz w:val="32"/>
          <w:szCs w:val="32"/>
        </w:rPr>
      </w:pPr>
      <w:r>
        <w:rPr>
          <w:rFonts w:hint="eastAsia" w:ascii="楷体" w:hAnsi="楷体" w:eastAsia="楷体" w:cs="楷体"/>
          <w:b/>
          <w:bCs/>
          <w:kern w:val="0"/>
          <w:sz w:val="32"/>
          <w:szCs w:val="32"/>
        </w:rPr>
        <w:t>7、“三公”经费</w:t>
      </w:r>
      <w:r>
        <w:rPr>
          <w:rFonts w:hint="eastAsia" w:ascii="黑体" w:hAnsi="黑体" w:eastAsia="黑体"/>
          <w:sz w:val="32"/>
          <w:szCs w:val="32"/>
        </w:rPr>
        <w:t>：</w:t>
      </w:r>
      <w:r>
        <w:rPr>
          <w:rFonts w:hint="eastAsia" w:ascii="仿宋_GB2312" w:hAnsi="仿宋_GB2312" w:eastAsia="仿宋_GB2312" w:cs="仿宋_GB2312"/>
          <w:color w:val="484747"/>
          <w:kern w:val="0"/>
          <w:sz w:val="32"/>
          <w:szCs w:val="32"/>
        </w:rPr>
        <w:t>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left="320" w:hanging="320" w:hangingChars="100"/>
        <w:rPr>
          <w:rFonts w:ascii="黑体" w:hAnsi="黑体" w:eastAsia="黑体"/>
          <w:sz w:val="32"/>
          <w:szCs w:val="32"/>
        </w:rPr>
      </w:pPr>
      <w:r>
        <w:rPr>
          <w:rFonts w:hint="eastAsia" w:ascii="黑体" w:hAnsi="黑体" w:eastAsia="黑体"/>
          <w:sz w:val="32"/>
          <w:szCs w:val="32"/>
        </w:rPr>
        <w:t xml:space="preserve">      </w:t>
      </w:r>
      <w:r>
        <w:rPr>
          <w:rFonts w:hint="eastAsia" w:ascii="楷体" w:hAnsi="楷体" w:eastAsia="楷体" w:cs="楷体"/>
          <w:b/>
          <w:bCs/>
          <w:kern w:val="0"/>
          <w:sz w:val="32"/>
          <w:szCs w:val="32"/>
        </w:rPr>
        <w:t>8、机关运行费</w:t>
      </w:r>
      <w:r>
        <w:rPr>
          <w:rFonts w:hint="eastAsia" w:ascii="黑体" w:hAnsi="黑体" w:eastAsia="黑体"/>
          <w:sz w:val="32"/>
          <w:szCs w:val="32"/>
        </w:rPr>
        <w:t>：</w:t>
      </w:r>
      <w:r>
        <w:rPr>
          <w:rFonts w:hint="eastAsia" w:ascii="仿宋_GB2312" w:hAnsi="仿宋_GB2312" w:eastAsia="仿宋_GB2312" w:cs="仿宋_GB2312"/>
          <w:color w:val="484747"/>
          <w:kern w:val="0"/>
          <w:sz w:val="32"/>
          <w:szCs w:val="32"/>
        </w:rPr>
        <w:t>为保障行政单位（包括参照公务员法管理的事业单位）运行用于购买货物和服务的各项资金，包括办公及印刷费、邮电费、差旅费、会议费、福利费、日常维修费、专用材料  及一般设备购置费、办公用房水电费、办公用房取暖费、办公用房物业管理费、公务用车运行维护费以及其他费用。</w:t>
      </w:r>
    </w:p>
    <w:p>
      <w:pPr>
        <w:tabs>
          <w:tab w:val="left" w:pos="11490"/>
        </w:tabs>
        <w:ind w:firstLine="960" w:firstLineChars="300"/>
        <w:rPr>
          <w:rFonts w:ascii="黑体" w:hAnsi="黑体" w:eastAsia="黑体" w:cs="黑体"/>
          <w:bCs/>
          <w:sz w:val="32"/>
          <w:szCs w:val="32"/>
        </w:rPr>
      </w:pPr>
      <w:r>
        <w:rPr>
          <w:rFonts w:hint="eastAsia" w:ascii="黑体" w:hAnsi="黑体" w:eastAsia="黑体" w:cs="黑体"/>
          <w:bCs/>
          <w:sz w:val="32"/>
          <w:szCs w:val="32"/>
        </w:rPr>
        <w:t>九、其它需要说明的事项</w:t>
      </w:r>
    </w:p>
    <w:p>
      <w:pPr>
        <w:widowControl/>
        <w:spacing w:line="480" w:lineRule="atLeast"/>
        <w:ind w:firstLine="1033" w:firstLineChars="323"/>
        <w:jc w:val="left"/>
        <w:rPr>
          <w:rFonts w:ascii="仿宋" w:hAnsi="仿宋" w:eastAsia="仿宋" w:cs="Times New Roman"/>
          <w:sz w:val="32"/>
          <w:szCs w:val="32"/>
        </w:rPr>
      </w:pPr>
      <w:r>
        <w:rPr>
          <w:rFonts w:hint="eastAsia" w:ascii="仿宋" w:hAnsi="仿宋" w:eastAsia="仿宋" w:cs="Times New Roman"/>
          <w:sz w:val="32"/>
          <w:szCs w:val="32"/>
        </w:rPr>
        <w:t>无其它需要说明的事项。</w:t>
      </w:r>
    </w:p>
    <w:p>
      <w:pPr>
        <w:tabs>
          <w:tab w:val="left" w:pos="11490"/>
        </w:tabs>
        <w:ind w:firstLine="640" w:firstLineChars="200"/>
        <w:rPr>
          <w:rFonts w:ascii="仿宋" w:hAnsi="仿宋" w:eastAsia="仿宋"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roman"/>
    <w:pitch w:val="default"/>
    <w:sig w:usb0="A00002BF" w:usb1="38CF7CFA" w:usb2="00082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7C5FE"/>
    <w:multiLevelType w:val="singleLevel"/>
    <w:tmpl w:val="D937C5FE"/>
    <w:lvl w:ilvl="0" w:tentative="0">
      <w:start w:val="8"/>
      <w:numFmt w:val="decimal"/>
      <w:lvlText w:val="%1."/>
      <w:lvlJc w:val="left"/>
      <w:pPr>
        <w:tabs>
          <w:tab w:val="left" w:pos="312"/>
        </w:tabs>
      </w:pPr>
    </w:lvl>
  </w:abstractNum>
  <w:abstractNum w:abstractNumId="1">
    <w:nsid w:val="DE9B5CC9"/>
    <w:multiLevelType w:val="singleLevel"/>
    <w:tmpl w:val="DE9B5CC9"/>
    <w:lvl w:ilvl="0" w:tentative="0">
      <w:start w:val="2"/>
      <w:numFmt w:val="chineseCounting"/>
      <w:suff w:val="nothing"/>
      <w:lvlText w:val="（%1）"/>
      <w:lvlJc w:val="left"/>
      <w:rPr>
        <w:rFonts w:hint="eastAsia"/>
      </w:rPr>
    </w:lvl>
  </w:abstractNum>
  <w:abstractNum w:abstractNumId="2">
    <w:nsid w:val="1ED5EAE6"/>
    <w:multiLevelType w:val="singleLevel"/>
    <w:tmpl w:val="1ED5EAE6"/>
    <w:lvl w:ilvl="0" w:tentative="0">
      <w:start w:val="5"/>
      <w:numFmt w:val="decimal"/>
      <w:lvlText w:val="%1."/>
      <w:lvlJc w:val="left"/>
      <w:pPr>
        <w:tabs>
          <w:tab w:val="left" w:pos="312"/>
        </w:tabs>
      </w:pPr>
    </w:lvl>
  </w:abstractNum>
  <w:abstractNum w:abstractNumId="3">
    <w:nsid w:val="41011ED9"/>
    <w:multiLevelType w:val="singleLevel"/>
    <w:tmpl w:val="41011ED9"/>
    <w:lvl w:ilvl="0" w:tentative="0">
      <w:start w:val="15"/>
      <w:numFmt w:val="decimal"/>
      <w:lvlText w:val="%1."/>
      <w:lvlJc w:val="left"/>
      <w:pPr>
        <w:tabs>
          <w:tab w:val="left" w:pos="312"/>
        </w:tabs>
      </w:pPr>
    </w:lvl>
  </w:abstractNum>
  <w:abstractNum w:abstractNumId="4">
    <w:nsid w:val="44672EF6"/>
    <w:multiLevelType w:val="singleLevel"/>
    <w:tmpl w:val="44672EF6"/>
    <w:lvl w:ilvl="0" w:tentative="0">
      <w:start w:val="2"/>
      <w:numFmt w:val="chineseCounting"/>
      <w:suff w:val="space"/>
      <w:lvlText w:val="第%1部分"/>
      <w:lvlJc w:val="left"/>
      <w:rPr>
        <w:rFonts w:hint="eastAsia"/>
      </w:rPr>
    </w:lvl>
  </w:abstractNum>
  <w:abstractNum w:abstractNumId="5">
    <w:nsid w:val="5950EFA2"/>
    <w:multiLevelType w:val="singleLevel"/>
    <w:tmpl w:val="5950EFA2"/>
    <w:lvl w:ilvl="0" w:tentative="0">
      <w:start w:val="3"/>
      <w:numFmt w:val="chineseCounting"/>
      <w:suff w:val="nothing"/>
      <w:lvlText w:val="%1、"/>
      <w:lvlJc w:val="left"/>
    </w:lvl>
  </w:abstractNum>
  <w:abstractNum w:abstractNumId="6">
    <w:nsid w:val="7C290F51"/>
    <w:multiLevelType w:val="multilevel"/>
    <w:tmpl w:val="7C290F51"/>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37AF6"/>
    <w:rsid w:val="00045A61"/>
    <w:rsid w:val="0007115F"/>
    <w:rsid w:val="00075D5F"/>
    <w:rsid w:val="0008359E"/>
    <w:rsid w:val="00084D5F"/>
    <w:rsid w:val="00086599"/>
    <w:rsid w:val="000C3A19"/>
    <w:rsid w:val="000D0441"/>
    <w:rsid w:val="000E7B55"/>
    <w:rsid w:val="000F1161"/>
    <w:rsid w:val="000F5B4A"/>
    <w:rsid w:val="00101E82"/>
    <w:rsid w:val="001138CD"/>
    <w:rsid w:val="001245BB"/>
    <w:rsid w:val="001368C2"/>
    <w:rsid w:val="00144C9C"/>
    <w:rsid w:val="00145F07"/>
    <w:rsid w:val="0018479D"/>
    <w:rsid w:val="001A5060"/>
    <w:rsid w:val="001A609C"/>
    <w:rsid w:val="001D566E"/>
    <w:rsid w:val="002078DF"/>
    <w:rsid w:val="002327A1"/>
    <w:rsid w:val="00236FC5"/>
    <w:rsid w:val="00241FD4"/>
    <w:rsid w:val="00251B12"/>
    <w:rsid w:val="00260588"/>
    <w:rsid w:val="002645FB"/>
    <w:rsid w:val="00296113"/>
    <w:rsid w:val="002B273B"/>
    <w:rsid w:val="002C614C"/>
    <w:rsid w:val="002D3652"/>
    <w:rsid w:val="002E065D"/>
    <w:rsid w:val="002E5289"/>
    <w:rsid w:val="002E54F2"/>
    <w:rsid w:val="002F052F"/>
    <w:rsid w:val="002F3E58"/>
    <w:rsid w:val="0030542C"/>
    <w:rsid w:val="00310DB7"/>
    <w:rsid w:val="00311B7A"/>
    <w:rsid w:val="00316A8C"/>
    <w:rsid w:val="00346D5A"/>
    <w:rsid w:val="00360402"/>
    <w:rsid w:val="0037720A"/>
    <w:rsid w:val="00387CBE"/>
    <w:rsid w:val="003A4487"/>
    <w:rsid w:val="003B3E5B"/>
    <w:rsid w:val="003B51D5"/>
    <w:rsid w:val="003E1A7F"/>
    <w:rsid w:val="00404016"/>
    <w:rsid w:val="00442807"/>
    <w:rsid w:val="00450C37"/>
    <w:rsid w:val="00451871"/>
    <w:rsid w:val="00461D6F"/>
    <w:rsid w:val="00472923"/>
    <w:rsid w:val="004C38C6"/>
    <w:rsid w:val="004E3066"/>
    <w:rsid w:val="004E74CD"/>
    <w:rsid w:val="004F31CD"/>
    <w:rsid w:val="004F61DF"/>
    <w:rsid w:val="00573562"/>
    <w:rsid w:val="005A7E7D"/>
    <w:rsid w:val="00614A29"/>
    <w:rsid w:val="0065122E"/>
    <w:rsid w:val="0068492B"/>
    <w:rsid w:val="00696900"/>
    <w:rsid w:val="006C079F"/>
    <w:rsid w:val="007003AB"/>
    <w:rsid w:val="00710912"/>
    <w:rsid w:val="007372EA"/>
    <w:rsid w:val="0075393C"/>
    <w:rsid w:val="007648C1"/>
    <w:rsid w:val="00776C08"/>
    <w:rsid w:val="007A52CF"/>
    <w:rsid w:val="007A7134"/>
    <w:rsid w:val="007B1758"/>
    <w:rsid w:val="007B2EF4"/>
    <w:rsid w:val="007B4EE0"/>
    <w:rsid w:val="007B7EEA"/>
    <w:rsid w:val="007C1E69"/>
    <w:rsid w:val="007C4EE2"/>
    <w:rsid w:val="007E1DA8"/>
    <w:rsid w:val="007F6C26"/>
    <w:rsid w:val="008123E8"/>
    <w:rsid w:val="00832301"/>
    <w:rsid w:val="008334AE"/>
    <w:rsid w:val="00836FED"/>
    <w:rsid w:val="00845CD2"/>
    <w:rsid w:val="008502D8"/>
    <w:rsid w:val="00852B0D"/>
    <w:rsid w:val="008660AD"/>
    <w:rsid w:val="00881692"/>
    <w:rsid w:val="00882CED"/>
    <w:rsid w:val="008B3CC5"/>
    <w:rsid w:val="008B7FC1"/>
    <w:rsid w:val="008C2BAF"/>
    <w:rsid w:val="008E4261"/>
    <w:rsid w:val="008F4662"/>
    <w:rsid w:val="008F6EAE"/>
    <w:rsid w:val="00905D08"/>
    <w:rsid w:val="00925753"/>
    <w:rsid w:val="00966C5C"/>
    <w:rsid w:val="00973104"/>
    <w:rsid w:val="0099796F"/>
    <w:rsid w:val="009A26B2"/>
    <w:rsid w:val="009B3467"/>
    <w:rsid w:val="009C01AF"/>
    <w:rsid w:val="009F2F50"/>
    <w:rsid w:val="00A14849"/>
    <w:rsid w:val="00A2182F"/>
    <w:rsid w:val="00A47972"/>
    <w:rsid w:val="00A52777"/>
    <w:rsid w:val="00A72D2E"/>
    <w:rsid w:val="00A82F49"/>
    <w:rsid w:val="00A84256"/>
    <w:rsid w:val="00A911E7"/>
    <w:rsid w:val="00A939D9"/>
    <w:rsid w:val="00AC61ED"/>
    <w:rsid w:val="00AC774D"/>
    <w:rsid w:val="00AD3F85"/>
    <w:rsid w:val="00AF1202"/>
    <w:rsid w:val="00AF3BDC"/>
    <w:rsid w:val="00B068A3"/>
    <w:rsid w:val="00B20712"/>
    <w:rsid w:val="00B43238"/>
    <w:rsid w:val="00B5374D"/>
    <w:rsid w:val="00B71C77"/>
    <w:rsid w:val="00B75216"/>
    <w:rsid w:val="00B756A8"/>
    <w:rsid w:val="00B91D52"/>
    <w:rsid w:val="00BA1ACD"/>
    <w:rsid w:val="00C04A68"/>
    <w:rsid w:val="00C37852"/>
    <w:rsid w:val="00C474F5"/>
    <w:rsid w:val="00C87B94"/>
    <w:rsid w:val="00C92C1A"/>
    <w:rsid w:val="00CA7176"/>
    <w:rsid w:val="00CA7A2D"/>
    <w:rsid w:val="00CB4B5C"/>
    <w:rsid w:val="00CD2773"/>
    <w:rsid w:val="00CD7C0F"/>
    <w:rsid w:val="00CE143B"/>
    <w:rsid w:val="00CE3760"/>
    <w:rsid w:val="00D217CD"/>
    <w:rsid w:val="00D64833"/>
    <w:rsid w:val="00D70CB3"/>
    <w:rsid w:val="00DC5E67"/>
    <w:rsid w:val="00E167C7"/>
    <w:rsid w:val="00E22138"/>
    <w:rsid w:val="00E270D9"/>
    <w:rsid w:val="00E40FCF"/>
    <w:rsid w:val="00E65EDC"/>
    <w:rsid w:val="00E85FCC"/>
    <w:rsid w:val="00E96E94"/>
    <w:rsid w:val="00EA361B"/>
    <w:rsid w:val="00EA4A55"/>
    <w:rsid w:val="00EA5E6F"/>
    <w:rsid w:val="00EB5B26"/>
    <w:rsid w:val="00EC47F6"/>
    <w:rsid w:val="00ED2F0C"/>
    <w:rsid w:val="00EE1B43"/>
    <w:rsid w:val="00F049AA"/>
    <w:rsid w:val="00F153EF"/>
    <w:rsid w:val="00F21878"/>
    <w:rsid w:val="00F37536"/>
    <w:rsid w:val="00F66032"/>
    <w:rsid w:val="00F75C71"/>
    <w:rsid w:val="00F77CFF"/>
    <w:rsid w:val="00F958C2"/>
    <w:rsid w:val="00FA0F94"/>
    <w:rsid w:val="00FA211C"/>
    <w:rsid w:val="00FC6B43"/>
    <w:rsid w:val="00FE7672"/>
    <w:rsid w:val="015E22A7"/>
    <w:rsid w:val="02A35ABB"/>
    <w:rsid w:val="040C6844"/>
    <w:rsid w:val="052F7EE4"/>
    <w:rsid w:val="05CB0353"/>
    <w:rsid w:val="0A132CC9"/>
    <w:rsid w:val="0BA87947"/>
    <w:rsid w:val="0C311456"/>
    <w:rsid w:val="0C453A2F"/>
    <w:rsid w:val="0CD71F55"/>
    <w:rsid w:val="0D384872"/>
    <w:rsid w:val="0E1272B3"/>
    <w:rsid w:val="0E4C3FB9"/>
    <w:rsid w:val="0EA91AB0"/>
    <w:rsid w:val="0EA97531"/>
    <w:rsid w:val="0ECC7D5D"/>
    <w:rsid w:val="0F450DF3"/>
    <w:rsid w:val="0FFA7705"/>
    <w:rsid w:val="10323B9C"/>
    <w:rsid w:val="10360B99"/>
    <w:rsid w:val="113A21BD"/>
    <w:rsid w:val="12C96627"/>
    <w:rsid w:val="12F227B0"/>
    <w:rsid w:val="15994474"/>
    <w:rsid w:val="17EF6A21"/>
    <w:rsid w:val="19542585"/>
    <w:rsid w:val="1A5F1011"/>
    <w:rsid w:val="1C711440"/>
    <w:rsid w:val="1D0F1013"/>
    <w:rsid w:val="1DB77DFD"/>
    <w:rsid w:val="1F925682"/>
    <w:rsid w:val="1FE15C53"/>
    <w:rsid w:val="224E639F"/>
    <w:rsid w:val="22C324BC"/>
    <w:rsid w:val="23674AD3"/>
    <w:rsid w:val="23BE37AE"/>
    <w:rsid w:val="24406F89"/>
    <w:rsid w:val="24FB0216"/>
    <w:rsid w:val="26367914"/>
    <w:rsid w:val="264734B3"/>
    <w:rsid w:val="28762880"/>
    <w:rsid w:val="289F521A"/>
    <w:rsid w:val="290E407E"/>
    <w:rsid w:val="2919310E"/>
    <w:rsid w:val="2A683D81"/>
    <w:rsid w:val="2B45202C"/>
    <w:rsid w:val="2B714533"/>
    <w:rsid w:val="2C327835"/>
    <w:rsid w:val="2CB74F17"/>
    <w:rsid w:val="2F5E2B59"/>
    <w:rsid w:val="2FB969BD"/>
    <w:rsid w:val="30404144"/>
    <w:rsid w:val="30BF0BA7"/>
    <w:rsid w:val="31752614"/>
    <w:rsid w:val="334F4456"/>
    <w:rsid w:val="355330E0"/>
    <w:rsid w:val="36146BC4"/>
    <w:rsid w:val="36601B2B"/>
    <w:rsid w:val="37F367F7"/>
    <w:rsid w:val="3A6C3458"/>
    <w:rsid w:val="3BA71882"/>
    <w:rsid w:val="3BC77C35"/>
    <w:rsid w:val="3C425E7A"/>
    <w:rsid w:val="3D1F642A"/>
    <w:rsid w:val="3E7C7008"/>
    <w:rsid w:val="3F6A47CA"/>
    <w:rsid w:val="40C22E03"/>
    <w:rsid w:val="41161CFC"/>
    <w:rsid w:val="414E4F77"/>
    <w:rsid w:val="429F2E1C"/>
    <w:rsid w:val="479D7F27"/>
    <w:rsid w:val="480F3E2A"/>
    <w:rsid w:val="48CF0DF9"/>
    <w:rsid w:val="494672D5"/>
    <w:rsid w:val="49D47710"/>
    <w:rsid w:val="4A621A52"/>
    <w:rsid w:val="4D2458BB"/>
    <w:rsid w:val="4E7A7DF2"/>
    <w:rsid w:val="4F200449"/>
    <w:rsid w:val="50F17D6E"/>
    <w:rsid w:val="510A3AAE"/>
    <w:rsid w:val="52417214"/>
    <w:rsid w:val="55176516"/>
    <w:rsid w:val="56931ED2"/>
    <w:rsid w:val="58C234C1"/>
    <w:rsid w:val="5D540DC2"/>
    <w:rsid w:val="5D907470"/>
    <w:rsid w:val="5E460E27"/>
    <w:rsid w:val="5F331EEE"/>
    <w:rsid w:val="5F6535BB"/>
    <w:rsid w:val="5FED7289"/>
    <w:rsid w:val="61C60BDB"/>
    <w:rsid w:val="61DA3470"/>
    <w:rsid w:val="655F6341"/>
    <w:rsid w:val="672F1B3F"/>
    <w:rsid w:val="67693F46"/>
    <w:rsid w:val="68CF7A4A"/>
    <w:rsid w:val="69F655EA"/>
    <w:rsid w:val="6A351419"/>
    <w:rsid w:val="6C387A40"/>
    <w:rsid w:val="6D0E281B"/>
    <w:rsid w:val="6D632D80"/>
    <w:rsid w:val="6DAC7338"/>
    <w:rsid w:val="6F744B9F"/>
    <w:rsid w:val="7119786C"/>
    <w:rsid w:val="71220D2A"/>
    <w:rsid w:val="725F26D3"/>
    <w:rsid w:val="72CC0BF9"/>
    <w:rsid w:val="73225BEC"/>
    <w:rsid w:val="73FA539E"/>
    <w:rsid w:val="741E0D70"/>
    <w:rsid w:val="76F23547"/>
    <w:rsid w:val="77AA5952"/>
    <w:rsid w:val="78335A8B"/>
    <w:rsid w:val="7BAE303E"/>
    <w:rsid w:val="7C735EAC"/>
    <w:rsid w:val="7C7D38A8"/>
    <w:rsid w:val="7F507549"/>
    <w:rsid w:val="7FBC0F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paragraph" w:styleId="6">
    <w:name w:val="Normal (Web)"/>
    <w:basedOn w:val="1"/>
    <w:unhideWhenUsed/>
    <w:qFormat/>
    <w:uiPriority w:val="99"/>
    <w:pPr>
      <w:jc w:val="left"/>
    </w:pPr>
    <w:rPr>
      <w:rFonts w:cs="Times New Roman"/>
      <w:kern w:val="0"/>
      <w:sz w:val="24"/>
    </w:rPr>
  </w:style>
  <w:style w:type="character" w:styleId="9">
    <w:name w:val="Hyperlink"/>
    <w:basedOn w:val="8"/>
    <w:unhideWhenUsed/>
    <w:uiPriority w:val="99"/>
    <w:rPr>
      <w:color w:val="0000FF"/>
      <w:u w:val="single"/>
    </w:rPr>
  </w:style>
  <w:style w:type="character" w:customStyle="1" w:styleId="10">
    <w:name w:val="页眉 Char"/>
    <w:basedOn w:val="8"/>
    <w:link w:val="3"/>
    <w:qFormat/>
    <w:uiPriority w:val="0"/>
    <w:rPr>
      <w:rFonts w:ascii="Times New Roman" w:hAnsi="Times New Roman" w:eastAsia="宋体" w:cs="Times New Roman"/>
      <w:sz w:val="18"/>
      <w:szCs w:val="18"/>
    </w:rPr>
  </w:style>
  <w:style w:type="character" w:customStyle="1" w:styleId="11">
    <w:name w:val="页脚 Char"/>
    <w:basedOn w:val="8"/>
    <w:link w:val="2"/>
    <w:qFormat/>
    <w:uiPriority w:val="0"/>
    <w:rPr>
      <w:rFonts w:ascii="Times New Roman" w:hAnsi="Times New Roman" w:eastAsia="宋体" w:cs="Times New Roman"/>
      <w:sz w:val="18"/>
      <w:szCs w:val="18"/>
    </w:rPr>
  </w:style>
  <w:style w:type="paragraph" w:customStyle="1" w:styleId="12">
    <w:name w:val="列出段落1"/>
    <w:basedOn w:val="1"/>
    <w:unhideWhenUsed/>
    <w:qFormat/>
    <w:uiPriority w:val="99"/>
    <w:pPr>
      <w:ind w:firstLine="420" w:firstLineChars="200"/>
    </w:pPr>
  </w:style>
  <w:style w:type="paragraph" w:styleId="13">
    <w:name w:val="List Paragraph"/>
    <w:basedOn w:val="1"/>
    <w:unhideWhenUsed/>
    <w:qFormat/>
    <w:uiPriority w:val="99"/>
    <w:pPr>
      <w:ind w:firstLine="420" w:firstLineChars="200"/>
    </w:p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587</Words>
  <Characters>3350</Characters>
  <Lines>27</Lines>
  <Paragraphs>7</Paragraphs>
  <TotalTime>1</TotalTime>
  <ScaleCrop>false</ScaleCrop>
  <LinksUpToDate>false</LinksUpToDate>
  <CharactersWithSpaces>3930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请叫我王先森</cp:lastModifiedBy>
  <cp:lastPrinted>2017-10-30T09:21:00Z</cp:lastPrinted>
  <dcterms:modified xsi:type="dcterms:W3CDTF">2021-05-20T01:34:25Z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240774506_cloud</vt:lpwstr>
  </property>
  <property fmtid="{D5CDD505-2E9C-101B-9397-08002B2CF9AE}" pid="4" name="ICV">
    <vt:lpwstr>3B50A4CFB17D4BEDAD77BA722E3F68F4</vt:lpwstr>
  </property>
</Properties>
</file>